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4" w:rsidRPr="00DD0749" w:rsidRDefault="002D50CF" w:rsidP="002D50CF">
      <w:pPr>
        <w:jc w:val="center"/>
        <w:rPr>
          <w:b/>
          <w:sz w:val="36"/>
          <w:szCs w:val="36"/>
        </w:rPr>
      </w:pPr>
      <w:r w:rsidRPr="00DD0749">
        <w:rPr>
          <w:rFonts w:ascii="標楷體" w:eastAsia="標楷體" w:hAnsi="標楷體" w:hint="eastAsia"/>
          <w:b/>
          <w:kern w:val="0"/>
          <w:sz w:val="36"/>
          <w:szCs w:val="36"/>
        </w:rPr>
        <w:t>IFRS 9「金融工具」-</w:t>
      </w:r>
      <w:r w:rsidR="00C01BDB" w:rsidRPr="00DD0749">
        <w:rPr>
          <w:rFonts w:ascii="Times New Roman" w:eastAsia="標楷體" w:hAnsi="標楷體"/>
          <w:b/>
          <w:sz w:val="36"/>
          <w:szCs w:val="36"/>
        </w:rPr>
        <w:t>前瞻性總體經濟資訊</w:t>
      </w:r>
      <w:r w:rsidRPr="00DD0749">
        <w:rPr>
          <w:rFonts w:eastAsia="標楷體" w:hint="eastAsia"/>
          <w:b/>
          <w:sz w:val="36"/>
          <w:szCs w:val="36"/>
        </w:rPr>
        <w:t>實務</w:t>
      </w:r>
      <w:r w:rsidR="00C01BDB" w:rsidRPr="00DD0749">
        <w:rPr>
          <w:rFonts w:ascii="Times New Roman" w:eastAsia="標楷體" w:hAnsi="標楷體" w:hint="eastAsia"/>
          <w:b/>
          <w:sz w:val="36"/>
          <w:szCs w:val="36"/>
        </w:rPr>
        <w:t>指引</w:t>
      </w:r>
    </w:p>
    <w:p w:rsidR="00C01BDB" w:rsidRPr="00DD0749" w:rsidRDefault="00C01BDB" w:rsidP="00C01BDB">
      <w:pPr>
        <w:pStyle w:val="a3"/>
        <w:numPr>
          <w:ilvl w:val="0"/>
          <w:numId w:val="1"/>
        </w:numPr>
        <w:ind w:leftChars="0"/>
        <w:rPr>
          <w:rFonts w:ascii="Times New Roman" w:eastAsia="標楷體" w:hAnsi="Times New Roman"/>
          <w:b/>
          <w:sz w:val="32"/>
          <w:szCs w:val="32"/>
        </w:rPr>
      </w:pPr>
      <w:r w:rsidRPr="00DD0749">
        <w:rPr>
          <w:rFonts w:ascii="Times New Roman" w:eastAsia="標楷體" w:hAnsi="Times New Roman" w:hint="eastAsia"/>
          <w:b/>
          <w:sz w:val="32"/>
          <w:szCs w:val="32"/>
        </w:rPr>
        <w:t>前言</w:t>
      </w:r>
    </w:p>
    <w:p w:rsidR="00C01BDB" w:rsidRPr="00DD0749" w:rsidRDefault="00C01BDB" w:rsidP="006F1E80">
      <w:pPr>
        <w:pStyle w:val="a3"/>
        <w:spacing w:afterLines="50" w:line="500" w:lineRule="exact"/>
        <w:ind w:leftChars="0" w:left="720"/>
        <w:jc w:val="both"/>
        <w:rPr>
          <w:rFonts w:ascii="Times New Roman" w:eastAsia="標楷體" w:hAnsi="Times New Roman"/>
          <w:sz w:val="28"/>
          <w:szCs w:val="28"/>
        </w:rPr>
      </w:pPr>
      <w:r w:rsidRPr="00DD0749">
        <w:rPr>
          <w:rFonts w:ascii="Times New Roman" w:eastAsia="標楷體" w:hAnsi="Times New Roman" w:hint="eastAsia"/>
          <w:sz w:val="28"/>
          <w:szCs w:val="28"/>
        </w:rPr>
        <w:t>國際會計準則理事會</w:t>
      </w:r>
      <w:r w:rsidRPr="00DD0749">
        <w:rPr>
          <w:rFonts w:ascii="Times New Roman" w:eastAsia="標楷體" w:hAnsi="Times New Roman"/>
          <w:sz w:val="28"/>
          <w:szCs w:val="28"/>
        </w:rPr>
        <w:t>(IASB)</w:t>
      </w:r>
      <w:r w:rsidRPr="00DD0749">
        <w:rPr>
          <w:rFonts w:ascii="Times New Roman" w:eastAsia="標楷體" w:hAnsi="Times New Roman" w:hint="eastAsia"/>
          <w:sz w:val="28"/>
          <w:szCs w:val="28"/>
        </w:rPr>
        <w:t>於民國</w:t>
      </w:r>
      <w:r w:rsidRPr="00DD0749">
        <w:rPr>
          <w:rFonts w:ascii="Times New Roman" w:eastAsia="標楷體" w:hAnsi="Times New Roman"/>
          <w:sz w:val="28"/>
          <w:szCs w:val="28"/>
        </w:rPr>
        <w:t>103</w:t>
      </w:r>
      <w:r w:rsidRPr="00DD0749">
        <w:rPr>
          <w:rFonts w:ascii="Times New Roman" w:eastAsia="標楷體" w:hAnsi="Times New Roman" w:hint="eastAsia"/>
          <w:sz w:val="28"/>
          <w:szCs w:val="28"/>
        </w:rPr>
        <w:t>年</w:t>
      </w:r>
      <w:r w:rsidRPr="00DD0749">
        <w:rPr>
          <w:rFonts w:ascii="Times New Roman" w:eastAsia="標楷體" w:hAnsi="Times New Roman"/>
          <w:sz w:val="28"/>
          <w:szCs w:val="28"/>
        </w:rPr>
        <w:t>7</w:t>
      </w:r>
      <w:r w:rsidRPr="00DD0749">
        <w:rPr>
          <w:rFonts w:ascii="Times New Roman" w:eastAsia="標楷體" w:hAnsi="Times New Roman" w:hint="eastAsia"/>
          <w:sz w:val="28"/>
          <w:szCs w:val="28"/>
        </w:rPr>
        <w:t>月份正式公布</w:t>
      </w:r>
      <w:r w:rsidRPr="00DD0749">
        <w:rPr>
          <w:rFonts w:ascii="Times New Roman" w:eastAsia="標楷體" w:hAnsi="Times New Roman"/>
          <w:sz w:val="28"/>
          <w:szCs w:val="28"/>
        </w:rPr>
        <w:t>IFRS 9</w:t>
      </w:r>
      <w:r w:rsidRPr="00DD0749">
        <w:rPr>
          <w:rFonts w:ascii="Times New Roman" w:eastAsia="標楷體" w:hAnsi="Times New Roman" w:hint="eastAsia"/>
          <w:sz w:val="28"/>
          <w:szCs w:val="28"/>
        </w:rPr>
        <w:t>「金融工具」</w:t>
      </w:r>
      <w:r w:rsidR="00EF3430" w:rsidRPr="00DD0749">
        <w:rPr>
          <w:rFonts w:ascii="Times New Roman" w:eastAsia="標楷體" w:hAnsi="Times New Roman" w:hint="eastAsia"/>
          <w:sz w:val="28"/>
          <w:szCs w:val="28"/>
        </w:rPr>
        <w:t>(</w:t>
      </w:r>
      <w:r w:rsidR="000A2A12" w:rsidRPr="00DD0749">
        <w:rPr>
          <w:rFonts w:ascii="Times New Roman" w:eastAsia="標楷體" w:hAnsi="Times New Roman" w:hint="eastAsia"/>
          <w:sz w:val="28"/>
          <w:szCs w:val="28"/>
        </w:rPr>
        <w:t>以下簡稱</w:t>
      </w:r>
      <w:r w:rsidR="00EF3430" w:rsidRPr="00DD0749">
        <w:rPr>
          <w:rFonts w:ascii="Times New Roman" w:eastAsia="標楷體" w:hAnsi="Times New Roman" w:hint="eastAsia"/>
          <w:sz w:val="28"/>
          <w:szCs w:val="28"/>
        </w:rPr>
        <w:t>IFRS 9)</w:t>
      </w:r>
      <w:r w:rsidRPr="00DD0749">
        <w:rPr>
          <w:rFonts w:ascii="Times New Roman" w:eastAsia="標楷體" w:hAnsi="Times New Roman" w:hint="eastAsia"/>
          <w:sz w:val="28"/>
          <w:szCs w:val="28"/>
        </w:rPr>
        <w:t>最終版本，以全面取代</w:t>
      </w:r>
      <w:r w:rsidRPr="00DD0749">
        <w:rPr>
          <w:rFonts w:ascii="Times New Roman" w:eastAsia="標楷體" w:hAnsi="Times New Roman"/>
          <w:sz w:val="28"/>
          <w:szCs w:val="28"/>
        </w:rPr>
        <w:t>IAS 39</w:t>
      </w:r>
      <w:r w:rsidRPr="00DD0749">
        <w:rPr>
          <w:rFonts w:ascii="Times New Roman" w:eastAsia="標楷體" w:hAnsi="Times New Roman" w:hint="eastAsia"/>
          <w:sz w:val="28"/>
          <w:szCs w:val="28"/>
        </w:rPr>
        <w:t>「金融工具：認列與衡量」</w:t>
      </w:r>
      <w:r w:rsidR="00EF3430" w:rsidRPr="00DD0749">
        <w:rPr>
          <w:rFonts w:ascii="Times New Roman" w:eastAsia="標楷體" w:hAnsi="Times New Roman" w:hint="eastAsia"/>
          <w:sz w:val="28"/>
          <w:szCs w:val="28"/>
        </w:rPr>
        <w:t>(IAS 39)</w:t>
      </w:r>
      <w:r w:rsidRPr="00DD0749">
        <w:rPr>
          <w:rFonts w:ascii="Times New Roman" w:eastAsia="標楷體" w:hAnsi="Times New Roman" w:hint="eastAsia"/>
          <w:sz w:val="28"/>
          <w:szCs w:val="28"/>
        </w:rPr>
        <w:t>。</w:t>
      </w:r>
      <w:r w:rsidR="00DE1A10" w:rsidRPr="00DD0749">
        <w:rPr>
          <w:rFonts w:ascii="Times New Roman" w:eastAsia="標楷體" w:hAnsi="Times New Roman" w:hint="eastAsia"/>
          <w:sz w:val="28"/>
          <w:szCs w:val="28"/>
        </w:rPr>
        <w:t>於現行</w:t>
      </w:r>
      <w:r w:rsidR="00DE1A10" w:rsidRPr="00DD0749">
        <w:rPr>
          <w:rFonts w:ascii="Times New Roman" w:eastAsia="標楷體" w:hAnsi="Times New Roman" w:hint="eastAsia"/>
          <w:sz w:val="28"/>
          <w:szCs w:val="28"/>
        </w:rPr>
        <w:t>IAS 39</w:t>
      </w:r>
      <w:r w:rsidR="00DE1A10" w:rsidRPr="00DD0749">
        <w:rPr>
          <w:rFonts w:ascii="Times New Roman" w:eastAsia="標楷體" w:hAnsi="Times New Roman" w:hint="eastAsia"/>
          <w:sz w:val="28"/>
          <w:szCs w:val="28"/>
        </w:rPr>
        <w:t>下之減損作法存在著延遲認列放款及其他金融工具之信用損失與多種減損作法之複雜性，</w:t>
      </w:r>
      <w:r w:rsidR="00DE1A10" w:rsidRPr="00DD0749">
        <w:rPr>
          <w:rFonts w:ascii="Times New Roman" w:eastAsia="標楷體" w:hAnsi="Times New Roman" w:hint="eastAsia"/>
          <w:sz w:val="28"/>
          <w:szCs w:val="28"/>
        </w:rPr>
        <w:t>IASB</w:t>
      </w:r>
      <w:r w:rsidR="00DE1A10" w:rsidRPr="00DD0749">
        <w:rPr>
          <w:rFonts w:ascii="Times New Roman" w:eastAsia="標楷體" w:hAnsi="Times New Roman" w:hint="eastAsia"/>
          <w:sz w:val="28"/>
          <w:szCs w:val="28"/>
        </w:rPr>
        <w:t>經多方探討後方以更為前瞻之「預期信用損失模式」取代「已發生信用損失模式」。預期信用損失之金額係於每一報導日更新，以反映自原始認列後信用風險之變動，提供預期信用損失更即時資訊，而前瞻性資訊則扮演著關鍵角色。</w:t>
      </w:r>
    </w:p>
    <w:p w:rsidR="00006C0C" w:rsidRPr="00DD0749" w:rsidRDefault="00006C0C" w:rsidP="00F212DF">
      <w:pPr>
        <w:pStyle w:val="a3"/>
        <w:spacing w:line="500" w:lineRule="exact"/>
        <w:ind w:leftChars="0" w:left="720"/>
        <w:jc w:val="both"/>
        <w:rPr>
          <w:rFonts w:ascii="Times New Roman" w:eastAsia="標楷體" w:hAnsi="Times New Roman"/>
          <w:sz w:val="28"/>
          <w:szCs w:val="28"/>
        </w:rPr>
      </w:pPr>
    </w:p>
    <w:p w:rsidR="00DE1A10" w:rsidRPr="00DD0749" w:rsidRDefault="00DE1A10" w:rsidP="00F212DF">
      <w:pPr>
        <w:pStyle w:val="a3"/>
        <w:spacing w:line="500" w:lineRule="exact"/>
        <w:ind w:leftChars="0" w:left="720"/>
        <w:jc w:val="both"/>
        <w:rPr>
          <w:rFonts w:ascii="Times New Roman" w:eastAsia="標楷體" w:hAnsi="Times New Roman"/>
          <w:sz w:val="28"/>
          <w:szCs w:val="28"/>
        </w:rPr>
      </w:pPr>
      <w:r w:rsidRPr="00DD0749">
        <w:rPr>
          <w:rFonts w:ascii="Times New Roman" w:eastAsia="標楷體" w:hAnsi="Times New Roman" w:hint="eastAsia"/>
          <w:sz w:val="28"/>
          <w:szCs w:val="28"/>
        </w:rPr>
        <w:t>依據</w:t>
      </w:r>
      <w:r w:rsidRPr="00DD0749">
        <w:rPr>
          <w:rFonts w:ascii="Times New Roman" w:eastAsia="標楷體" w:hAnsi="Times New Roman" w:hint="eastAsia"/>
          <w:sz w:val="28"/>
          <w:szCs w:val="28"/>
        </w:rPr>
        <w:t>IFRS 9</w:t>
      </w:r>
      <w:r w:rsidRPr="00DD0749">
        <w:rPr>
          <w:rFonts w:ascii="Times New Roman" w:eastAsia="標楷體" w:hAnsi="Times New Roman" w:hint="eastAsia"/>
          <w:sz w:val="28"/>
          <w:szCs w:val="28"/>
        </w:rPr>
        <w:t>企業</w:t>
      </w:r>
      <w:r w:rsidR="003B6F0D" w:rsidRPr="00DD0749">
        <w:rPr>
          <w:rFonts w:ascii="Times New Roman" w:eastAsia="標楷體" w:hAnsi="Times New Roman" w:hint="eastAsia"/>
          <w:sz w:val="28"/>
          <w:szCs w:val="28"/>
        </w:rPr>
        <w:t>於評估信用風險是否顯著增加及衡量預期信用損失時，</w:t>
      </w:r>
      <w:r w:rsidRPr="00DD0749">
        <w:rPr>
          <w:rFonts w:ascii="Times New Roman" w:eastAsia="標楷體" w:hAnsi="Times New Roman" w:hint="eastAsia"/>
          <w:sz w:val="28"/>
          <w:szCs w:val="28"/>
        </w:rPr>
        <w:t>應考量所有</w:t>
      </w:r>
      <w:r w:rsidR="003B6F0D" w:rsidRPr="00DD0749">
        <w:rPr>
          <w:rFonts w:ascii="Times New Roman" w:eastAsia="標楷體" w:hAnsi="Times New Roman" w:hint="eastAsia"/>
          <w:sz w:val="28"/>
          <w:szCs w:val="28"/>
        </w:rPr>
        <w:t>無需過度成本或投入即可取得之合理且可佐證之</w:t>
      </w:r>
      <w:r w:rsidR="00B01A66" w:rsidRPr="00DD0749">
        <w:rPr>
          <w:rFonts w:ascii="Times New Roman" w:eastAsia="標楷體" w:hAnsi="Times New Roman" w:hint="eastAsia"/>
          <w:sz w:val="28"/>
          <w:szCs w:val="28"/>
        </w:rPr>
        <w:t>資訊</w:t>
      </w:r>
      <w:r w:rsidR="00B01A66" w:rsidRPr="00DD0749">
        <w:rPr>
          <w:rFonts w:ascii="Times New Roman" w:eastAsia="標楷體" w:hAnsi="Times New Roman" w:hint="eastAsia"/>
          <w:sz w:val="28"/>
          <w:szCs w:val="28"/>
        </w:rPr>
        <w:t>(</w:t>
      </w:r>
      <w:r w:rsidR="00B01A66" w:rsidRPr="00DD0749">
        <w:rPr>
          <w:rFonts w:ascii="Times New Roman" w:eastAsia="標楷體" w:hAnsi="Times New Roman" w:hint="eastAsia"/>
          <w:sz w:val="28"/>
          <w:szCs w:val="28"/>
        </w:rPr>
        <w:t>包括</w:t>
      </w:r>
      <w:r w:rsidR="003B6F0D" w:rsidRPr="00DD0749">
        <w:rPr>
          <w:rFonts w:ascii="Times New Roman" w:eastAsia="標楷體" w:hAnsi="Times New Roman" w:hint="eastAsia"/>
          <w:sz w:val="28"/>
          <w:szCs w:val="28"/>
        </w:rPr>
        <w:t>前瞻性</w:t>
      </w:r>
      <w:r w:rsidR="00B01A66" w:rsidRPr="00DD0749">
        <w:rPr>
          <w:rFonts w:ascii="Times New Roman" w:eastAsia="標楷體" w:hAnsi="Times New Roman" w:hint="eastAsia"/>
          <w:sz w:val="28"/>
          <w:szCs w:val="28"/>
        </w:rPr>
        <w:t>總體經濟</w:t>
      </w:r>
      <w:r w:rsidR="003B6F0D" w:rsidRPr="00DD0749">
        <w:rPr>
          <w:rFonts w:ascii="Times New Roman" w:eastAsia="標楷體" w:hAnsi="Times New Roman" w:hint="eastAsia"/>
          <w:sz w:val="28"/>
          <w:szCs w:val="28"/>
        </w:rPr>
        <w:t>資訊</w:t>
      </w:r>
      <w:r w:rsidR="00B01A66" w:rsidRPr="00DD0749">
        <w:rPr>
          <w:rFonts w:ascii="Times New Roman" w:eastAsia="標楷體" w:hAnsi="Times New Roman" w:hint="eastAsia"/>
          <w:sz w:val="28"/>
          <w:szCs w:val="28"/>
        </w:rPr>
        <w:t>)</w:t>
      </w:r>
      <w:r w:rsidR="003B6F0D" w:rsidRPr="00DD0749">
        <w:rPr>
          <w:rFonts w:ascii="Times New Roman" w:eastAsia="標楷體" w:hAnsi="Times New Roman" w:hint="eastAsia"/>
          <w:sz w:val="28"/>
          <w:szCs w:val="28"/>
        </w:rPr>
        <w:t>，</w:t>
      </w:r>
      <w:r w:rsidRPr="00DD0749">
        <w:rPr>
          <w:rFonts w:ascii="Times New Roman" w:eastAsia="標楷體" w:hAnsi="Times New Roman" w:hint="eastAsia"/>
          <w:sz w:val="28"/>
          <w:szCs w:val="28"/>
        </w:rPr>
        <w:t>本指引</w:t>
      </w:r>
      <w:r w:rsidR="00804EA2" w:rsidRPr="00DD0749">
        <w:rPr>
          <w:rFonts w:ascii="Times New Roman" w:eastAsia="標楷體" w:hAnsi="Times New Roman" w:hint="eastAsia"/>
          <w:sz w:val="28"/>
          <w:szCs w:val="28"/>
        </w:rPr>
        <w:t>係</w:t>
      </w:r>
      <w:r w:rsidR="00D71B5A" w:rsidRPr="00DD0749">
        <w:rPr>
          <w:rFonts w:ascii="Times New Roman" w:eastAsia="標楷體" w:hAnsi="Times New Roman" w:hint="eastAsia"/>
          <w:sz w:val="28"/>
          <w:szCs w:val="28"/>
        </w:rPr>
        <w:t>參酌銀行公會「因應</w:t>
      </w:r>
      <w:r w:rsidR="00D71B5A" w:rsidRPr="00DD0749">
        <w:rPr>
          <w:rFonts w:ascii="Times New Roman" w:eastAsia="標楷體" w:hAnsi="Times New Roman"/>
          <w:sz w:val="28"/>
          <w:szCs w:val="28"/>
        </w:rPr>
        <w:t>IFRS 9</w:t>
      </w:r>
      <w:r w:rsidR="00D71B5A" w:rsidRPr="00DD0749">
        <w:rPr>
          <w:rFonts w:ascii="Times New Roman" w:eastAsia="標楷體" w:hAnsi="Times New Roman" w:hint="eastAsia"/>
          <w:sz w:val="28"/>
          <w:szCs w:val="28"/>
        </w:rPr>
        <w:t>實施委外規劃案」</w:t>
      </w:r>
      <w:r w:rsidR="003A291F" w:rsidRPr="00DD0749">
        <w:rPr>
          <w:rFonts w:ascii="Times New Roman" w:eastAsia="標楷體" w:hAnsi="Times New Roman" w:hint="eastAsia"/>
          <w:sz w:val="28"/>
          <w:szCs w:val="28"/>
        </w:rPr>
        <w:t>、</w:t>
      </w:r>
      <w:r w:rsidR="003A291F" w:rsidRPr="00DD0749">
        <w:rPr>
          <w:rFonts w:ascii="Times New Roman" w:eastAsia="標楷體" w:hAnsi="Times New Roman"/>
          <w:sz w:val="28"/>
          <w:szCs w:val="28"/>
        </w:rPr>
        <w:t xml:space="preserve">ITG </w:t>
      </w:r>
      <w:r w:rsidR="003A291F" w:rsidRPr="00DD0749">
        <w:rPr>
          <w:rFonts w:ascii="Times New Roman" w:eastAsia="標楷體" w:hAnsi="Times New Roman" w:hint="eastAsia"/>
          <w:sz w:val="28"/>
          <w:szCs w:val="28"/>
        </w:rPr>
        <w:t>會議摘要、</w:t>
      </w:r>
      <w:r w:rsidR="003A291F" w:rsidRPr="00DD0749">
        <w:rPr>
          <w:rFonts w:ascii="Times New Roman" w:eastAsia="標楷體" w:hAnsi="Times New Roman"/>
          <w:sz w:val="28"/>
          <w:szCs w:val="28"/>
        </w:rPr>
        <w:t>Global Public Policy Committee (GPPC) Paper</w:t>
      </w:r>
      <w:r w:rsidR="003A291F" w:rsidRPr="00DD0749">
        <w:rPr>
          <w:rFonts w:ascii="Times New Roman" w:eastAsia="標楷體" w:hAnsi="Times New Roman" w:hint="eastAsia"/>
          <w:sz w:val="28"/>
          <w:szCs w:val="28"/>
        </w:rPr>
        <w:t>以及普華永道</w:t>
      </w:r>
      <w:r w:rsidR="003A291F" w:rsidRPr="00DD0749">
        <w:rPr>
          <w:rFonts w:ascii="標楷體" w:eastAsia="標楷體" w:hAnsi="標楷體" w:hint="eastAsia"/>
          <w:sz w:val="28"/>
          <w:szCs w:val="28"/>
        </w:rPr>
        <w:t>「格物致知：實施</w:t>
      </w:r>
      <w:r w:rsidR="003A291F" w:rsidRPr="00DD0749">
        <w:rPr>
          <w:rFonts w:ascii="標楷體" w:eastAsia="標楷體" w:hAnsi="標楷體"/>
          <w:sz w:val="28"/>
          <w:szCs w:val="28"/>
        </w:rPr>
        <w:t>IFRS 9</w:t>
      </w:r>
      <w:proofErr w:type="gramStart"/>
      <w:r w:rsidR="003A291F" w:rsidRPr="00DD0749">
        <w:rPr>
          <w:rFonts w:ascii="標楷體" w:eastAsia="標楷體" w:hAnsi="標楷體"/>
          <w:sz w:val="28"/>
          <w:szCs w:val="28"/>
        </w:rPr>
        <w:t>減值模型</w:t>
      </w:r>
      <w:proofErr w:type="gramEnd"/>
      <w:r w:rsidR="003A291F" w:rsidRPr="00DD0749">
        <w:rPr>
          <w:rFonts w:ascii="標楷體" w:eastAsia="標楷體" w:hAnsi="標楷體"/>
          <w:sz w:val="28"/>
          <w:szCs w:val="28"/>
        </w:rPr>
        <w:t>的</w:t>
      </w:r>
      <w:proofErr w:type="gramStart"/>
      <w:r w:rsidR="003A291F" w:rsidRPr="00DD0749">
        <w:rPr>
          <w:rFonts w:ascii="標楷體" w:eastAsia="標楷體" w:hAnsi="標楷體"/>
          <w:sz w:val="28"/>
          <w:szCs w:val="28"/>
        </w:rPr>
        <w:t>銀</w:t>
      </w:r>
      <w:r w:rsidR="003A291F" w:rsidRPr="00DD0749">
        <w:rPr>
          <w:rFonts w:ascii="標楷體" w:eastAsia="標楷體" w:hAnsi="標楷體" w:hint="eastAsia"/>
          <w:sz w:val="28"/>
          <w:szCs w:val="28"/>
        </w:rPr>
        <w:t>行版攻略</w:t>
      </w:r>
      <w:proofErr w:type="gramEnd"/>
      <w:r w:rsidR="003A291F" w:rsidRPr="00DD0749">
        <w:rPr>
          <w:rFonts w:ascii="標楷體" w:eastAsia="標楷體" w:hAnsi="標楷體" w:hint="eastAsia"/>
          <w:sz w:val="28"/>
          <w:szCs w:val="28"/>
        </w:rPr>
        <w:t>」</w:t>
      </w:r>
      <w:r w:rsidR="00804EA2" w:rsidRPr="00DD0749">
        <w:rPr>
          <w:rFonts w:ascii="Times New Roman" w:eastAsia="標楷體" w:hAnsi="Times New Roman" w:hint="eastAsia"/>
          <w:sz w:val="28"/>
          <w:szCs w:val="28"/>
        </w:rPr>
        <w:t>提供實務應用說明。</w:t>
      </w:r>
    </w:p>
    <w:p w:rsidR="00EF3430" w:rsidRPr="00DD0749" w:rsidRDefault="00EF3430" w:rsidP="006F1E80">
      <w:pPr>
        <w:spacing w:afterLines="50" w:line="500" w:lineRule="exact"/>
        <w:jc w:val="both"/>
        <w:rPr>
          <w:rFonts w:ascii="Times New Roman" w:eastAsia="標楷體" w:hAnsi="Times New Roman"/>
          <w:sz w:val="28"/>
          <w:szCs w:val="28"/>
        </w:rPr>
      </w:pPr>
    </w:p>
    <w:p w:rsidR="00F212DF" w:rsidRPr="00DD0749" w:rsidRDefault="00F212DF" w:rsidP="00F212DF">
      <w:pPr>
        <w:pStyle w:val="a3"/>
        <w:numPr>
          <w:ilvl w:val="0"/>
          <w:numId w:val="1"/>
        </w:numPr>
        <w:ind w:leftChars="0"/>
        <w:rPr>
          <w:rFonts w:ascii="Times New Roman" w:eastAsia="標楷體" w:hAnsi="Times New Roman"/>
          <w:b/>
          <w:sz w:val="32"/>
          <w:szCs w:val="32"/>
        </w:rPr>
      </w:pPr>
      <w:r w:rsidRPr="00DD0749">
        <w:rPr>
          <w:rFonts w:ascii="Times New Roman" w:eastAsia="標楷體" w:hAnsi="Times New Roman" w:hint="eastAsia"/>
          <w:b/>
          <w:sz w:val="32"/>
          <w:szCs w:val="32"/>
        </w:rPr>
        <w:t>指引內容</w:t>
      </w:r>
    </w:p>
    <w:p w:rsidR="00F212DF" w:rsidRPr="00DD0749" w:rsidRDefault="00F212DF" w:rsidP="006F1E80">
      <w:pPr>
        <w:pStyle w:val="a3"/>
        <w:spacing w:afterLines="50" w:line="500" w:lineRule="exact"/>
        <w:ind w:leftChars="0" w:left="72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依據</w:t>
      </w:r>
      <w:r w:rsidRPr="00DD0749">
        <w:rPr>
          <w:rFonts w:ascii="Times New Roman" w:eastAsia="標楷體" w:hAnsi="Times New Roman" w:cs="Times New Roman"/>
          <w:sz w:val="28"/>
          <w:szCs w:val="28"/>
        </w:rPr>
        <w:t>IFRS 9</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5.5.4</w:t>
      </w:r>
      <w:r w:rsidRPr="00DD0749">
        <w:rPr>
          <w:rFonts w:ascii="Times New Roman" w:eastAsia="標楷體" w:hAnsi="Times New Roman" w:cs="Times New Roman" w:hint="eastAsia"/>
          <w:sz w:val="28"/>
          <w:szCs w:val="28"/>
        </w:rPr>
        <w:t>段所述，在考量所有合理且可佐證之資訊</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包括前瞻性者</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後，對自原始認列後信用風險已顯著增加</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無論係以個別或集體基礎評估</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之所有金融工具認列存續期間預期信用損失。</w:t>
      </w:r>
      <w:r w:rsidR="00804EA2" w:rsidRPr="00DD0749">
        <w:rPr>
          <w:rFonts w:ascii="Times New Roman" w:eastAsia="標楷體" w:hAnsi="Times New Roman" w:cs="Times New Roman" w:hint="eastAsia"/>
          <w:sz w:val="28"/>
          <w:szCs w:val="28"/>
        </w:rPr>
        <w:t>而</w:t>
      </w:r>
      <w:r w:rsidRPr="00DD0749">
        <w:rPr>
          <w:rFonts w:ascii="Times New Roman" w:eastAsia="標楷體" w:hAnsi="Times New Roman" w:cs="Times New Roman" w:hint="eastAsia"/>
          <w:sz w:val="28"/>
          <w:szCs w:val="28"/>
        </w:rPr>
        <w:t>前瞻性資訊根據</w:t>
      </w:r>
      <w:r w:rsidRPr="00DD0749">
        <w:rPr>
          <w:rFonts w:ascii="Times New Roman" w:eastAsia="標楷體" w:hAnsi="Times New Roman" w:cs="Times New Roman"/>
          <w:sz w:val="28"/>
          <w:szCs w:val="28"/>
        </w:rPr>
        <w:t>IFRS 9</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B5.5.52</w:t>
      </w:r>
      <w:r w:rsidRPr="00DD0749">
        <w:rPr>
          <w:rFonts w:ascii="Times New Roman" w:eastAsia="標楷體" w:hAnsi="Times New Roman" w:cs="Times New Roman" w:hint="eastAsia"/>
          <w:sz w:val="28"/>
          <w:szCs w:val="28"/>
        </w:rPr>
        <w:t>段所述，包含：對金融工具信用損失具指標性之失業率、不動產價格、商品價格、還本付息狀況、產業前景、政經環境或其他因素等之變動，或金融工具群組之變動及該等變動之</w:t>
      </w:r>
      <w:r w:rsidRPr="00DD0749">
        <w:rPr>
          <w:rFonts w:ascii="Times New Roman" w:eastAsia="標楷體" w:hAnsi="Times New Roman" w:cs="Times New Roman" w:hint="eastAsia"/>
          <w:sz w:val="28"/>
          <w:szCs w:val="28"/>
        </w:rPr>
        <w:lastRenderedPageBreak/>
        <w:t>幅度之變動等。</w:t>
      </w:r>
    </w:p>
    <w:p w:rsidR="00213713" w:rsidRPr="00DD0749" w:rsidRDefault="00213713" w:rsidP="006002E4">
      <w:pPr>
        <w:spacing w:after="180"/>
      </w:pPr>
    </w:p>
    <w:p w:rsidR="00D71B5A" w:rsidRPr="00DD0749" w:rsidRDefault="00F212DF" w:rsidP="006F1E80">
      <w:pPr>
        <w:pStyle w:val="a3"/>
        <w:spacing w:afterLines="50" w:line="500" w:lineRule="exact"/>
        <w:ind w:leftChars="0" w:left="72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依據不同</w:t>
      </w:r>
      <w:proofErr w:type="gramStart"/>
      <w:r w:rsidRPr="00DD0749">
        <w:rPr>
          <w:rFonts w:ascii="Times New Roman" w:eastAsia="標楷體" w:hAnsi="Times New Roman" w:cs="Times New Roman" w:hint="eastAsia"/>
          <w:sz w:val="28"/>
          <w:szCs w:val="28"/>
        </w:rPr>
        <w:t>的暴險部位</w:t>
      </w:r>
      <w:proofErr w:type="gramEnd"/>
      <w:r w:rsidRPr="00DD0749">
        <w:rPr>
          <w:rFonts w:ascii="Times New Roman" w:eastAsia="標楷體" w:hAnsi="Times New Roman" w:cs="Times New Roman" w:hint="eastAsia"/>
          <w:sz w:val="28"/>
          <w:szCs w:val="28"/>
        </w:rPr>
        <w:t>，其考量之前瞻性資訊可能有所差異，且應納入以</w:t>
      </w:r>
      <w:proofErr w:type="gramStart"/>
      <w:r w:rsidRPr="00DD0749">
        <w:rPr>
          <w:rFonts w:ascii="Times New Roman" w:eastAsia="標楷體" w:hAnsi="Times New Roman" w:cs="Times New Roman" w:hint="eastAsia"/>
          <w:sz w:val="28"/>
          <w:szCs w:val="28"/>
        </w:rPr>
        <w:t>對暴險部位</w:t>
      </w:r>
      <w:proofErr w:type="gramEnd"/>
      <w:r w:rsidRPr="00DD0749">
        <w:rPr>
          <w:rFonts w:ascii="Times New Roman" w:eastAsia="標楷體" w:hAnsi="Times New Roman" w:cs="Times New Roman" w:hint="eastAsia"/>
          <w:sz w:val="28"/>
          <w:szCs w:val="28"/>
        </w:rPr>
        <w:t>之違約機率</w:t>
      </w:r>
      <w:r w:rsidRPr="00DD0749">
        <w:rPr>
          <w:rFonts w:ascii="Times New Roman" w:eastAsia="標楷體" w:hAnsi="Times New Roman" w:cs="Times New Roman"/>
          <w:sz w:val="28"/>
          <w:szCs w:val="28"/>
        </w:rPr>
        <w:t>(PD)</w:t>
      </w:r>
      <w:r w:rsidRPr="00DD0749">
        <w:rPr>
          <w:rFonts w:ascii="Times New Roman" w:eastAsia="標楷體" w:hAnsi="Times New Roman" w:cs="Times New Roman" w:hint="eastAsia"/>
          <w:sz w:val="28"/>
          <w:szCs w:val="28"/>
        </w:rPr>
        <w:t>及違約損失率</w:t>
      </w:r>
      <w:r w:rsidRPr="00DD0749">
        <w:rPr>
          <w:rFonts w:ascii="Times New Roman" w:eastAsia="標楷體" w:hAnsi="Times New Roman" w:cs="Times New Roman"/>
          <w:sz w:val="28"/>
          <w:szCs w:val="28"/>
        </w:rPr>
        <w:t>(LGD)</w:t>
      </w:r>
      <w:r w:rsidRPr="00DD0749">
        <w:rPr>
          <w:rFonts w:ascii="Times New Roman" w:eastAsia="標楷體" w:hAnsi="Times New Roman" w:cs="Times New Roman" w:hint="eastAsia"/>
          <w:sz w:val="28"/>
          <w:szCs w:val="28"/>
        </w:rPr>
        <w:t>較具敏感度的前瞻性資訊為宜，如影響</w:t>
      </w:r>
      <w:proofErr w:type="gramStart"/>
      <w:r w:rsidRPr="00DD0749">
        <w:rPr>
          <w:rFonts w:ascii="Times New Roman" w:eastAsia="標楷體" w:hAnsi="Times New Roman" w:cs="Times New Roman" w:hint="eastAsia"/>
          <w:sz w:val="28"/>
          <w:szCs w:val="28"/>
        </w:rPr>
        <w:t>房貸暴險之</w:t>
      </w:r>
      <w:proofErr w:type="gramEnd"/>
      <w:r w:rsidRPr="00DD0749">
        <w:rPr>
          <w:rFonts w:ascii="Times New Roman" w:eastAsia="標楷體" w:hAnsi="Times New Roman" w:cs="Times New Roman" w:hint="eastAsia"/>
          <w:sz w:val="28"/>
          <w:szCs w:val="28"/>
        </w:rPr>
        <w:t>前瞻性資訊可能為利率、失業率、房價指數等；而影響</w:t>
      </w:r>
      <w:proofErr w:type="gramStart"/>
      <w:r w:rsidRPr="00DD0749">
        <w:rPr>
          <w:rFonts w:ascii="Times New Roman" w:eastAsia="標楷體" w:hAnsi="Times New Roman" w:cs="Times New Roman" w:hint="eastAsia"/>
          <w:sz w:val="28"/>
          <w:szCs w:val="28"/>
        </w:rPr>
        <w:t>企金暴險</w:t>
      </w:r>
      <w:proofErr w:type="gramEnd"/>
      <w:r w:rsidRPr="00DD0749">
        <w:rPr>
          <w:rFonts w:ascii="Times New Roman" w:eastAsia="標楷體" w:hAnsi="Times New Roman" w:cs="Times New Roman" w:hint="eastAsia"/>
          <w:sz w:val="28"/>
          <w:szCs w:val="28"/>
        </w:rPr>
        <w:t>之前瞻性資訊則可</w:t>
      </w:r>
      <w:r w:rsidR="00EF3430" w:rsidRPr="00DD0749">
        <w:rPr>
          <w:rFonts w:ascii="Times New Roman" w:eastAsia="標楷體" w:hAnsi="Times New Roman" w:cs="Times New Roman" w:hint="eastAsia"/>
          <w:sz w:val="28"/>
          <w:szCs w:val="28"/>
        </w:rPr>
        <w:t>能</w:t>
      </w:r>
      <w:r w:rsidRPr="00DD0749">
        <w:rPr>
          <w:rFonts w:ascii="Times New Roman" w:eastAsia="標楷體" w:hAnsi="Times New Roman" w:cs="Times New Roman" w:hint="eastAsia"/>
          <w:sz w:val="28"/>
          <w:szCs w:val="28"/>
        </w:rPr>
        <w:t>為</w:t>
      </w:r>
      <w:r w:rsidRPr="00DD0749">
        <w:rPr>
          <w:rFonts w:ascii="Times New Roman" w:eastAsia="標楷體" w:hAnsi="Times New Roman" w:cs="Times New Roman"/>
          <w:sz w:val="28"/>
          <w:szCs w:val="28"/>
        </w:rPr>
        <w:t>GDP</w:t>
      </w:r>
      <w:r w:rsidRPr="00DD0749">
        <w:rPr>
          <w:rFonts w:ascii="Times New Roman" w:eastAsia="標楷體" w:hAnsi="Times New Roman" w:cs="Times New Roman" w:hint="eastAsia"/>
          <w:sz w:val="28"/>
          <w:szCs w:val="28"/>
        </w:rPr>
        <w:t>、油價指數等。</w:t>
      </w:r>
    </w:p>
    <w:p w:rsidR="00C01BDB" w:rsidRPr="00DD0749" w:rsidRDefault="00F212DF" w:rsidP="006F1E80">
      <w:pPr>
        <w:pStyle w:val="a3"/>
        <w:spacing w:afterLines="50" w:line="500" w:lineRule="exact"/>
        <w:ind w:leftChars="0" w:left="72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另</w:t>
      </w:r>
      <w:r w:rsidR="00D71B5A" w:rsidRPr="00DD0749">
        <w:rPr>
          <w:rFonts w:ascii="Times New Roman" w:eastAsia="標楷體" w:hAnsi="Times New Roman" w:cs="Times New Roman" w:hint="eastAsia"/>
          <w:sz w:val="28"/>
          <w:szCs w:val="28"/>
        </w:rPr>
        <w:t>金融產業</w:t>
      </w:r>
      <w:proofErr w:type="gramStart"/>
      <w:r w:rsidRPr="00DD0749">
        <w:rPr>
          <w:rFonts w:ascii="Times New Roman" w:eastAsia="標楷體" w:hAnsi="Times New Roman" w:cs="Times New Roman" w:hint="eastAsia"/>
          <w:sz w:val="28"/>
          <w:szCs w:val="28"/>
        </w:rPr>
        <w:t>於徵審或</w:t>
      </w:r>
      <w:proofErr w:type="gramEnd"/>
      <w:r w:rsidRPr="00DD0749">
        <w:rPr>
          <w:rFonts w:ascii="Times New Roman" w:eastAsia="標楷體" w:hAnsi="Times New Roman" w:cs="Times New Roman" w:hint="eastAsia"/>
          <w:sz w:val="28"/>
          <w:szCs w:val="28"/>
        </w:rPr>
        <w:t>覆審流程中，對於個案</w:t>
      </w:r>
      <w:r w:rsidR="00D71B5A" w:rsidRPr="00DD0749">
        <w:rPr>
          <w:rFonts w:ascii="Times New Roman" w:eastAsia="標楷體" w:hAnsi="Times New Roman" w:cs="Times New Roman" w:hint="eastAsia"/>
          <w:sz w:val="28"/>
          <w:szCs w:val="28"/>
        </w:rPr>
        <w:t>已</w:t>
      </w:r>
      <w:r w:rsidRPr="00DD0749">
        <w:rPr>
          <w:rFonts w:ascii="Times New Roman" w:eastAsia="標楷體" w:hAnsi="Times New Roman" w:cs="Times New Roman" w:hint="eastAsia"/>
          <w:sz w:val="28"/>
          <w:szCs w:val="28"/>
        </w:rPr>
        <w:t>參酌產業展望、預估財務狀況、企業潛力或其它而做調整者，亦可視為具前瞻性資訊之考量，然仍須注意前瞻性資訊的完整性。</w:t>
      </w:r>
    </w:p>
    <w:p w:rsidR="00153065" w:rsidRPr="00DD0749" w:rsidRDefault="00153065" w:rsidP="00153065"/>
    <w:p w:rsidR="00213713" w:rsidRPr="00DD0749" w:rsidRDefault="003A291F">
      <w:pPr>
        <w:pStyle w:val="a3"/>
        <w:spacing w:line="500" w:lineRule="exact"/>
        <w:ind w:leftChars="300" w:left="720"/>
        <w:jc w:val="both"/>
        <w:rPr>
          <w:rFonts w:ascii="Times New Roman" w:eastAsia="標楷體" w:hAnsi="Times New Roman"/>
          <w:sz w:val="28"/>
          <w:szCs w:val="28"/>
        </w:rPr>
      </w:pPr>
      <w:r w:rsidRPr="00DD0749">
        <w:rPr>
          <w:rFonts w:ascii="Times New Roman" w:eastAsia="標楷體" w:hAnsi="Times New Roman" w:cs="Times New Roman" w:hint="eastAsia"/>
          <w:sz w:val="28"/>
          <w:szCs w:val="28"/>
        </w:rPr>
        <w:t>企業於衡量金融工具預期信用損失時，依據</w:t>
      </w:r>
      <w:r w:rsidRPr="00DD0749">
        <w:rPr>
          <w:rFonts w:ascii="Times New Roman" w:eastAsia="標楷體" w:hAnsi="Times New Roman" w:cs="Times New Roman"/>
          <w:sz w:val="28"/>
          <w:szCs w:val="28"/>
        </w:rPr>
        <w:t>IFRS 9</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5.5.17</w:t>
      </w:r>
      <w:r w:rsidRPr="00DD0749">
        <w:rPr>
          <w:rFonts w:ascii="Times New Roman" w:eastAsia="標楷體" w:hAnsi="Times New Roman" w:cs="Times New Roman" w:hint="eastAsia"/>
          <w:sz w:val="28"/>
          <w:szCs w:val="28"/>
        </w:rPr>
        <w:t>段應評估各種可能結果而決定之</w:t>
      </w:r>
      <w:proofErr w:type="gramStart"/>
      <w:r w:rsidRPr="00DD0749">
        <w:rPr>
          <w:rFonts w:ascii="Times New Roman" w:eastAsia="標楷體" w:hAnsi="Times New Roman" w:cs="Times New Roman" w:hint="eastAsia"/>
          <w:sz w:val="28"/>
          <w:szCs w:val="28"/>
        </w:rPr>
        <w:t>不偏且機率</w:t>
      </w:r>
      <w:proofErr w:type="gramEnd"/>
      <w:r w:rsidRPr="00DD0749">
        <w:rPr>
          <w:rFonts w:ascii="Times New Roman" w:eastAsia="標楷體" w:hAnsi="Times New Roman" w:cs="Times New Roman" w:hint="eastAsia"/>
          <w:sz w:val="28"/>
          <w:szCs w:val="28"/>
        </w:rPr>
        <w:t>加權平均之金額；同時，企業應使用於報導日無需過度成本或投入即可取得之有關過去事項、現時狀況及未來經濟狀況預測之合理且可佐證資訊</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B5.5.49</w:t>
      </w:r>
      <w:r w:rsidRPr="00DD0749">
        <w:rPr>
          <w:rFonts w:ascii="Times New Roman" w:eastAsia="標楷體" w:hAnsi="Times New Roman" w:cs="Times New Roman" w:hint="eastAsia"/>
          <w:sz w:val="28"/>
          <w:szCs w:val="28"/>
        </w:rPr>
        <w:t>至</w:t>
      </w:r>
      <w:r w:rsidRPr="00DD0749">
        <w:rPr>
          <w:rFonts w:ascii="Times New Roman" w:eastAsia="標楷體" w:hAnsi="Times New Roman" w:cs="Times New Roman"/>
          <w:sz w:val="28"/>
          <w:szCs w:val="28"/>
        </w:rPr>
        <w:t>B5.5.54</w:t>
      </w:r>
      <w:r w:rsidRPr="00DD0749">
        <w:rPr>
          <w:rFonts w:ascii="Times New Roman" w:eastAsia="標楷體" w:hAnsi="Times New Roman" w:cs="Times New Roman" w:hint="eastAsia"/>
          <w:sz w:val="28"/>
          <w:szCs w:val="28"/>
        </w:rPr>
        <w:t>段</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。另</w:t>
      </w:r>
      <w:r w:rsidRPr="00DD0749">
        <w:rPr>
          <w:rFonts w:ascii="Times New Roman" w:eastAsia="標楷體" w:hAnsi="Times New Roman" w:cs="Times New Roman"/>
          <w:sz w:val="28"/>
          <w:szCs w:val="28"/>
        </w:rPr>
        <w:t>IFRS 9</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BC5.263</w:t>
      </w:r>
      <w:r w:rsidRPr="00DD0749">
        <w:rPr>
          <w:rFonts w:ascii="Times New Roman" w:eastAsia="標楷體" w:hAnsi="Times New Roman" w:cs="Times New Roman" w:hint="eastAsia"/>
          <w:sz w:val="28"/>
          <w:szCs w:val="28"/>
        </w:rPr>
        <w:t>段亦指出預期金額係屬機率加權平均數之概念，不應與最可能結果或企業對最終結果之最佳估計混淆。</w:t>
      </w:r>
      <w:r w:rsidRPr="00DD0749">
        <w:rPr>
          <w:rFonts w:ascii="Times New Roman" w:eastAsia="標楷體" w:hAnsi="Times New Roman" w:cs="Times New Roman"/>
          <w:sz w:val="28"/>
          <w:szCs w:val="28"/>
        </w:rPr>
        <w:t>ITG</w:t>
      </w:r>
      <w:r w:rsidRPr="00DD0749">
        <w:rPr>
          <w:rFonts w:ascii="Times New Roman" w:eastAsia="標楷體" w:hAnsi="Times New Roman" w:cs="Times New Roman" w:hint="eastAsia"/>
          <w:sz w:val="28"/>
          <w:szCs w:val="28"/>
        </w:rPr>
        <w:t>成員因是認為採納單一前瞻經濟情境僅有在其能代表多組前瞻經濟情境區間下之結果</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例如不同情境下之</w:t>
      </w:r>
      <w:proofErr w:type="gramStart"/>
      <w:r w:rsidRPr="00DD0749">
        <w:rPr>
          <w:rFonts w:ascii="Times New Roman" w:eastAsia="標楷體" w:hAnsi="Times New Roman" w:cs="Times New Roman" w:hint="eastAsia"/>
          <w:sz w:val="28"/>
          <w:szCs w:val="28"/>
        </w:rPr>
        <w:t>結果係呈線性</w:t>
      </w:r>
      <w:proofErr w:type="gramEnd"/>
      <w:r w:rsidRPr="00DD0749">
        <w:rPr>
          <w:rFonts w:ascii="Times New Roman" w:eastAsia="標楷體" w:hAnsi="Times New Roman" w:cs="Times New Roman" w:hint="eastAsia"/>
          <w:sz w:val="28"/>
          <w:szCs w:val="28"/>
        </w:rPr>
        <w:t>關係時</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才可能滿足</w:t>
      </w:r>
      <w:r w:rsidRPr="00DD0749">
        <w:rPr>
          <w:rFonts w:ascii="Times New Roman" w:eastAsia="標楷體" w:hAnsi="Times New Roman" w:cs="Times New Roman"/>
          <w:sz w:val="28"/>
          <w:szCs w:val="28"/>
        </w:rPr>
        <w:t>IFRS 9</w:t>
      </w:r>
      <w:r w:rsidRPr="00DD0749">
        <w:rPr>
          <w:rFonts w:ascii="Times New Roman" w:eastAsia="標楷體" w:hAnsi="Times New Roman" w:cs="Times New Roman" w:hint="eastAsia"/>
          <w:sz w:val="28"/>
          <w:szCs w:val="28"/>
        </w:rPr>
        <w:t>所要求之預期信用損失不偏估計，而如不同情境間之結果係屬非線性關係，則需考量多項情境</w:t>
      </w:r>
      <w:proofErr w:type="gramStart"/>
      <w:r w:rsidRPr="00DD0749">
        <w:rPr>
          <w:rFonts w:ascii="Times New Roman" w:eastAsia="標楷體" w:hAnsi="Times New Roman" w:cs="Times New Roman" w:hint="eastAsia"/>
          <w:sz w:val="28"/>
          <w:szCs w:val="28"/>
        </w:rPr>
        <w:t>不偏且以</w:t>
      </w:r>
      <w:proofErr w:type="gramEnd"/>
      <w:r w:rsidRPr="00DD0749">
        <w:rPr>
          <w:rFonts w:ascii="Times New Roman" w:eastAsia="標楷體" w:hAnsi="Times New Roman" w:cs="Times New Roman" w:hint="eastAsia"/>
          <w:sz w:val="28"/>
          <w:szCs w:val="28"/>
        </w:rPr>
        <w:t>機率加權之金額，否則</w:t>
      </w:r>
      <w:r w:rsidR="009B6A3D" w:rsidRPr="00DD0749">
        <w:rPr>
          <w:rFonts w:ascii="Times New Roman" w:eastAsia="標楷體" w:hAnsi="Times New Roman" w:cs="Times New Roman" w:hint="eastAsia"/>
          <w:sz w:val="28"/>
          <w:szCs w:val="28"/>
        </w:rPr>
        <w:t>兩</w:t>
      </w:r>
      <w:r w:rsidRPr="00DD0749">
        <w:rPr>
          <w:rFonts w:ascii="Times New Roman" w:eastAsia="標楷體" w:hAnsi="Times New Roman" w:cs="Times New Roman" w:hint="eastAsia"/>
          <w:sz w:val="28"/>
          <w:szCs w:val="28"/>
        </w:rPr>
        <w:t>者會產生重大預期信用損失差異。</w:t>
      </w:r>
      <w:proofErr w:type="gramStart"/>
      <w:r w:rsidR="00D4747A" w:rsidRPr="00DD0749">
        <w:rPr>
          <w:rFonts w:ascii="Times New Roman" w:eastAsia="標楷體" w:hAnsi="Times New Roman" w:cs="Times New Roman" w:hint="eastAsia"/>
          <w:sz w:val="28"/>
          <w:szCs w:val="28"/>
        </w:rPr>
        <w:t>另</w:t>
      </w:r>
      <w:proofErr w:type="gramEnd"/>
      <w:r w:rsidR="00D4747A" w:rsidRPr="00DD0749">
        <w:rPr>
          <w:rFonts w:ascii="Times New Roman" w:eastAsia="標楷體" w:hAnsi="Times New Roman" w:cs="Times New Roman" w:hint="eastAsia"/>
          <w:sz w:val="28"/>
          <w:szCs w:val="28"/>
        </w:rPr>
        <w:t>，</w:t>
      </w:r>
      <w:r w:rsidRPr="00DD0749">
        <w:rPr>
          <w:rFonts w:ascii="Times New Roman" w:eastAsia="標楷體" w:hAnsi="Times New Roman" w:cs="Times New Roman" w:hint="eastAsia"/>
          <w:sz w:val="28"/>
          <w:szCs w:val="28"/>
        </w:rPr>
        <w:t>資訊不應僅因有以下情況而被排除：</w:t>
      </w:r>
    </w:p>
    <w:p w:rsidR="00213713" w:rsidRPr="00DD0749" w:rsidRDefault="003A291F">
      <w:pPr>
        <w:pStyle w:val="a3"/>
        <w:numPr>
          <w:ilvl w:val="0"/>
          <w:numId w:val="6"/>
        </w:numPr>
        <w:spacing w:line="500" w:lineRule="exact"/>
        <w:ind w:leftChars="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該事件發生的可能性很小或微乎其微；或</w:t>
      </w:r>
    </w:p>
    <w:p w:rsidR="00213713" w:rsidRPr="00DD0749" w:rsidRDefault="003A291F">
      <w:pPr>
        <w:pStyle w:val="a3"/>
        <w:numPr>
          <w:ilvl w:val="0"/>
          <w:numId w:val="6"/>
        </w:numPr>
        <w:spacing w:line="500" w:lineRule="exact"/>
        <w:ind w:leftChars="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該事件對信用風險或預期損失金額之影響不確定。</w:t>
      </w:r>
    </w:p>
    <w:p w:rsidR="00213713" w:rsidRPr="00DD0749" w:rsidRDefault="00D4747A" w:rsidP="006002E4">
      <w:pPr>
        <w:spacing w:after="180"/>
        <w:ind w:leftChars="300" w:left="720"/>
        <w:jc w:val="both"/>
      </w:pPr>
      <w:r w:rsidRPr="00DD0749">
        <w:rPr>
          <w:rFonts w:ascii="Times New Roman" w:eastAsia="標楷體" w:hAnsi="Times New Roman" w:hint="eastAsia"/>
          <w:sz w:val="28"/>
          <w:szCs w:val="28"/>
        </w:rPr>
        <w:t>（</w:t>
      </w:r>
      <w:r w:rsidRPr="00DD0749">
        <w:rPr>
          <w:rFonts w:ascii="Times New Roman" w:eastAsia="標楷體" w:hAnsi="Times New Roman" w:hint="eastAsia"/>
          <w:sz w:val="28"/>
          <w:szCs w:val="28"/>
        </w:rPr>
        <w:t>ITG</w:t>
      </w:r>
      <w:r w:rsidRPr="00DD0749">
        <w:rPr>
          <w:rFonts w:ascii="Times New Roman" w:eastAsia="標楷體" w:hAnsi="Times New Roman" w:hint="eastAsia"/>
          <w:sz w:val="28"/>
          <w:szCs w:val="28"/>
        </w:rPr>
        <w:t>會議</w:t>
      </w:r>
      <w:r w:rsidRPr="00DD0749">
        <w:rPr>
          <w:rFonts w:ascii="Times New Roman" w:eastAsia="標楷體" w:hAnsi="Times New Roman" w:cs="標楷體" w:hint="eastAsia"/>
          <w:kern w:val="0"/>
          <w:sz w:val="28"/>
          <w:szCs w:val="24"/>
        </w:rPr>
        <w:t>2015.9.16</w:t>
      </w:r>
      <w:r w:rsidRPr="00DD0749">
        <w:rPr>
          <w:rFonts w:ascii="Times New Roman" w:eastAsia="標楷體" w:hAnsi="Times New Roman" w:cs="標楷體" w:hint="eastAsia"/>
          <w:kern w:val="0"/>
          <w:sz w:val="28"/>
          <w:szCs w:val="24"/>
        </w:rPr>
        <w:t>及</w:t>
      </w:r>
      <w:r w:rsidRPr="00DD0749">
        <w:rPr>
          <w:rFonts w:ascii="Times New Roman" w:eastAsia="標楷體" w:hAnsi="Times New Roman" w:cs="標楷體" w:hint="eastAsia"/>
          <w:kern w:val="0"/>
          <w:sz w:val="28"/>
          <w:szCs w:val="24"/>
        </w:rPr>
        <w:t>2015.12.11</w:t>
      </w:r>
      <w:r w:rsidRPr="00DD0749">
        <w:rPr>
          <w:rFonts w:ascii="Times New Roman" w:eastAsia="標楷體" w:hAnsi="Times New Roman" w:cs="標楷體" w:hint="eastAsia"/>
          <w:kern w:val="0"/>
          <w:sz w:val="28"/>
          <w:szCs w:val="24"/>
        </w:rPr>
        <w:t>）</w:t>
      </w:r>
    </w:p>
    <w:p w:rsidR="00213713" w:rsidRPr="00DD0749" w:rsidRDefault="00213713" w:rsidP="006002E4">
      <w:pPr>
        <w:spacing w:after="180"/>
        <w:jc w:val="both"/>
      </w:pPr>
    </w:p>
    <w:p w:rsidR="00590049" w:rsidRPr="00DD0749" w:rsidRDefault="003A291F" w:rsidP="006F1E80">
      <w:pPr>
        <w:pStyle w:val="a3"/>
        <w:spacing w:afterLines="50" w:line="500" w:lineRule="exact"/>
        <w:ind w:leftChars="0" w:left="72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lastRenderedPageBreak/>
        <w:t>為實現上述目標，</w:t>
      </w:r>
      <w:r w:rsidR="005805CF" w:rsidRPr="00DD0749">
        <w:rPr>
          <w:rFonts w:ascii="Times New Roman" w:eastAsia="標楷體" w:hAnsi="Times New Roman" w:cs="Times New Roman"/>
          <w:sz w:val="28"/>
          <w:szCs w:val="28"/>
        </w:rPr>
        <w:t>GPPC P</w:t>
      </w:r>
      <w:r w:rsidRPr="00DD0749">
        <w:rPr>
          <w:rFonts w:ascii="Times New Roman" w:eastAsia="標楷體" w:hAnsi="Times New Roman" w:cs="Times New Roman"/>
          <w:sz w:val="28"/>
          <w:szCs w:val="28"/>
        </w:rPr>
        <w:t xml:space="preserve">aper </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2.8.2.1</w:t>
      </w:r>
      <w:r w:rsidRPr="00DD0749">
        <w:rPr>
          <w:rFonts w:ascii="Times New Roman" w:eastAsia="標楷體" w:hAnsi="Times New Roman" w:cs="Times New Roman" w:hint="eastAsia"/>
          <w:sz w:val="28"/>
          <w:szCs w:val="28"/>
        </w:rPr>
        <w:t>至</w:t>
      </w:r>
      <w:r w:rsidRPr="00DD0749">
        <w:rPr>
          <w:rFonts w:ascii="Times New Roman" w:eastAsia="標楷體" w:hAnsi="Times New Roman" w:cs="Times New Roman"/>
          <w:sz w:val="28"/>
          <w:szCs w:val="28"/>
        </w:rPr>
        <w:t>2.8.2.2</w:t>
      </w:r>
      <w:r w:rsidRPr="00DD0749">
        <w:rPr>
          <w:rFonts w:ascii="Times New Roman" w:eastAsia="標楷體" w:hAnsi="Times New Roman" w:cs="Times New Roman" w:hint="eastAsia"/>
          <w:sz w:val="28"/>
          <w:szCs w:val="28"/>
        </w:rPr>
        <w:t>段對於銀行業提出精細作法，而計算預期信用損失之整體方法為下列兩者之</w:t>
      </w:r>
      <w:proofErr w:type="gramStart"/>
      <w:r w:rsidRPr="00DD0749">
        <w:rPr>
          <w:rFonts w:ascii="Times New Roman" w:eastAsia="標楷體" w:hAnsi="Times New Roman" w:cs="Times New Roman" w:hint="eastAsia"/>
          <w:sz w:val="28"/>
          <w:szCs w:val="28"/>
        </w:rPr>
        <w:t>一</w:t>
      </w:r>
      <w:proofErr w:type="gramEnd"/>
      <w:r w:rsidRPr="00DD0749">
        <w:rPr>
          <w:rFonts w:ascii="Times New Roman" w:eastAsia="標楷體" w:hAnsi="Times New Roman" w:cs="Times New Roman" w:hint="eastAsia"/>
          <w:sz w:val="28"/>
          <w:szCs w:val="28"/>
        </w:rPr>
        <w:t>：</w:t>
      </w:r>
    </w:p>
    <w:p w:rsidR="00590049" w:rsidRPr="00DD0749" w:rsidRDefault="003A291F" w:rsidP="006F1E80">
      <w:pPr>
        <w:pStyle w:val="a3"/>
        <w:numPr>
          <w:ilvl w:val="0"/>
          <w:numId w:val="4"/>
        </w:numPr>
        <w:spacing w:afterLines="50" w:line="500" w:lineRule="exact"/>
        <w:ind w:leftChars="0"/>
        <w:jc w:val="both"/>
        <w:rPr>
          <w:rFonts w:ascii="Times New Roman" w:eastAsia="標楷體" w:hAnsi="Times New Roman"/>
          <w:sz w:val="28"/>
          <w:szCs w:val="28"/>
        </w:rPr>
      </w:pPr>
      <w:r w:rsidRPr="00DD0749">
        <w:rPr>
          <w:rFonts w:ascii="Times New Roman" w:eastAsia="標楷體" w:hAnsi="Times New Roman" w:hint="eastAsia"/>
          <w:sz w:val="28"/>
          <w:szCs w:val="28"/>
        </w:rPr>
        <w:t>對於所選擇之多</w:t>
      </w:r>
      <w:r w:rsidR="009B6A3D" w:rsidRPr="00DD0749">
        <w:rPr>
          <w:rFonts w:ascii="Times New Roman" w:eastAsia="標楷體" w:hAnsi="Times New Roman" w:hint="eastAsia"/>
          <w:sz w:val="28"/>
          <w:szCs w:val="28"/>
        </w:rPr>
        <w:t>項</w:t>
      </w:r>
      <w:r w:rsidRPr="00DD0749">
        <w:rPr>
          <w:rFonts w:ascii="Times New Roman" w:eastAsia="標楷體" w:hAnsi="Times New Roman" w:hint="eastAsia"/>
          <w:sz w:val="28"/>
          <w:szCs w:val="28"/>
        </w:rPr>
        <w:t>情境的各情境決定相應之信用損失，並按照每一情境發生的可能性分配權重，以求得加權平均值，再加上或減除依據“額外</w:t>
      </w:r>
      <w:r w:rsidRPr="00DD0749">
        <w:rPr>
          <w:rFonts w:ascii="Times New Roman" w:eastAsia="標楷體" w:hAnsi="Times New Roman"/>
          <w:sz w:val="28"/>
          <w:szCs w:val="28"/>
        </w:rPr>
        <w:t>”</w:t>
      </w:r>
      <w:r w:rsidRPr="00DD0749">
        <w:rPr>
          <w:rFonts w:ascii="Times New Roman" w:eastAsia="標楷體" w:hAnsi="Times New Roman" w:hint="eastAsia"/>
          <w:sz w:val="28"/>
          <w:szCs w:val="28"/>
        </w:rPr>
        <w:t>因素所作出之個別調整。</w:t>
      </w:r>
    </w:p>
    <w:p w:rsidR="00590049" w:rsidRPr="00DD0749" w:rsidRDefault="003A291F" w:rsidP="006F1E80">
      <w:pPr>
        <w:pStyle w:val="a3"/>
        <w:numPr>
          <w:ilvl w:val="0"/>
          <w:numId w:val="4"/>
        </w:numPr>
        <w:spacing w:afterLines="50" w:line="500" w:lineRule="exact"/>
        <w:ind w:leftChars="0"/>
        <w:jc w:val="both"/>
        <w:rPr>
          <w:rFonts w:ascii="Times New Roman" w:eastAsia="標楷體" w:hAnsi="Times New Roman"/>
          <w:sz w:val="28"/>
          <w:szCs w:val="28"/>
        </w:rPr>
      </w:pPr>
      <w:r w:rsidRPr="00DD0749">
        <w:rPr>
          <w:rFonts w:ascii="Times New Roman" w:eastAsia="標楷體" w:hAnsi="Times New Roman" w:hint="eastAsia"/>
          <w:sz w:val="28"/>
          <w:szCs w:val="28"/>
        </w:rPr>
        <w:t>對於基礎情境所決定之信用損失加上或減除單獨之模型調整，以反映其他發生可能性較低之情境及由此導致之非線性影響</w:t>
      </w:r>
      <w:r w:rsidR="009B6A3D" w:rsidRPr="00DD0749">
        <w:rPr>
          <w:rFonts w:ascii="Times New Roman" w:eastAsia="標楷體" w:hAnsi="Times New Roman" w:hint="eastAsia"/>
          <w:sz w:val="28"/>
          <w:szCs w:val="28"/>
        </w:rPr>
        <w:t>(</w:t>
      </w:r>
      <w:r w:rsidRPr="00DD0749">
        <w:rPr>
          <w:rFonts w:ascii="Times New Roman" w:eastAsia="標楷體" w:hAnsi="Times New Roman" w:hint="eastAsia"/>
          <w:sz w:val="28"/>
          <w:szCs w:val="28"/>
        </w:rPr>
        <w:t>作為前述方法之近似方法</w:t>
      </w:r>
      <w:r w:rsidR="009B6A3D" w:rsidRPr="00DD0749">
        <w:rPr>
          <w:rFonts w:ascii="Times New Roman" w:eastAsia="標楷體" w:hAnsi="Times New Roman" w:hint="eastAsia"/>
          <w:sz w:val="28"/>
          <w:szCs w:val="28"/>
        </w:rPr>
        <w:t>)</w:t>
      </w:r>
      <w:r w:rsidRPr="00DD0749">
        <w:rPr>
          <w:rFonts w:ascii="Times New Roman" w:eastAsia="標楷體" w:hAnsi="Times New Roman" w:hint="eastAsia"/>
          <w:sz w:val="28"/>
          <w:szCs w:val="28"/>
        </w:rPr>
        <w:t>，再加上或減除依據“額外</w:t>
      </w:r>
      <w:r w:rsidRPr="00DD0749">
        <w:rPr>
          <w:rFonts w:ascii="Times New Roman" w:eastAsia="標楷體" w:hAnsi="Times New Roman"/>
          <w:sz w:val="28"/>
          <w:szCs w:val="28"/>
        </w:rPr>
        <w:t>”</w:t>
      </w:r>
      <w:r w:rsidRPr="00DD0749">
        <w:rPr>
          <w:rFonts w:ascii="Times New Roman" w:eastAsia="標楷體" w:hAnsi="Times New Roman" w:hint="eastAsia"/>
          <w:sz w:val="28"/>
          <w:szCs w:val="28"/>
        </w:rPr>
        <w:t>因素所作出之個別調整。</w:t>
      </w:r>
    </w:p>
    <w:p w:rsidR="00213713" w:rsidRPr="00DD0749" w:rsidRDefault="003A291F" w:rsidP="006F1E80">
      <w:pPr>
        <w:pStyle w:val="a3"/>
        <w:spacing w:afterLines="50" w:line="500" w:lineRule="exact"/>
        <w:ind w:leftChars="300" w:left="720"/>
        <w:jc w:val="both"/>
        <w:rPr>
          <w:rFonts w:ascii="Times New Roman" w:eastAsia="標楷體" w:hAnsi="Times New Roman" w:cs="Times New Roman"/>
          <w:sz w:val="28"/>
          <w:szCs w:val="28"/>
        </w:rPr>
      </w:pPr>
      <w:r w:rsidRPr="00DD0749">
        <w:rPr>
          <w:rFonts w:ascii="Times New Roman" w:eastAsia="標楷體" w:hAnsi="Times New Roman" w:cs="Times New Roman" w:hint="eastAsia"/>
          <w:sz w:val="28"/>
          <w:szCs w:val="28"/>
        </w:rPr>
        <w:t>“額外</w:t>
      </w:r>
      <w:r w:rsidRPr="00DD0749">
        <w:rPr>
          <w:rFonts w:ascii="Times New Roman" w:eastAsia="標楷體" w:hAnsi="Times New Roman" w:cs="Times New Roman"/>
          <w:sz w:val="28"/>
          <w:szCs w:val="28"/>
        </w:rPr>
        <w:t>”</w:t>
      </w:r>
      <w:r w:rsidRPr="00DD0749">
        <w:rPr>
          <w:rFonts w:ascii="Times New Roman" w:eastAsia="標楷體" w:hAnsi="Times New Roman" w:cs="Times New Roman" w:hint="eastAsia"/>
          <w:sz w:val="28"/>
          <w:szCs w:val="28"/>
        </w:rPr>
        <w:t>因素係指未被使用或列入考慮於主要計算過程中之情境或事件</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例如，歷史或預測資訊中未反映出來之極端或特殊事件，如成員國投票是否退出歐盟，或者特定地區的國家之間政治和軍事衝突顯著擴大</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。關於銀行應用精細</w:t>
      </w:r>
      <w:r w:rsidR="009B6A3D" w:rsidRPr="00DD0749">
        <w:rPr>
          <w:rFonts w:ascii="Times New Roman" w:eastAsia="標楷體" w:hAnsi="Times New Roman" w:cs="Times New Roman" w:hint="eastAsia"/>
          <w:sz w:val="28"/>
          <w:szCs w:val="28"/>
        </w:rPr>
        <w:t>作</w:t>
      </w:r>
      <w:r w:rsidRPr="00DD0749">
        <w:rPr>
          <w:rFonts w:ascii="Times New Roman" w:eastAsia="標楷體" w:hAnsi="Times New Roman" w:cs="Times New Roman" w:hint="eastAsia"/>
          <w:sz w:val="28"/>
          <w:szCs w:val="28"/>
        </w:rPr>
        <w:t>法時，所應注意之原則請參考</w:t>
      </w:r>
      <w:r w:rsidRPr="00DD0749">
        <w:rPr>
          <w:rFonts w:ascii="Times New Roman" w:eastAsia="標楷體" w:hAnsi="Times New Roman" w:cs="Times New Roman"/>
          <w:sz w:val="28"/>
          <w:szCs w:val="28"/>
        </w:rPr>
        <w:t>GPPC Paper</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2.8.2.3</w:t>
      </w:r>
      <w:r w:rsidRPr="00DD0749">
        <w:rPr>
          <w:rFonts w:ascii="Times New Roman" w:eastAsia="標楷體" w:hAnsi="Times New Roman" w:cs="Times New Roman" w:hint="eastAsia"/>
          <w:sz w:val="28"/>
          <w:szCs w:val="28"/>
        </w:rPr>
        <w:t>段</w:t>
      </w:r>
      <w:r w:rsidR="009B6A3D" w:rsidRPr="00DD0749">
        <w:rPr>
          <w:rFonts w:ascii="Times New Roman" w:eastAsia="標楷體" w:hAnsi="Times New Roman" w:hint="eastAsia"/>
          <w:sz w:val="28"/>
          <w:szCs w:val="28"/>
        </w:rPr>
        <w:t>(</w:t>
      </w:r>
      <w:r w:rsidR="009B6A3D" w:rsidRPr="00DD0749">
        <w:rPr>
          <w:rFonts w:ascii="Times New Roman" w:eastAsia="標楷體" w:hAnsi="Times New Roman" w:cs="Times New Roman"/>
          <w:sz w:val="28"/>
          <w:szCs w:val="28"/>
        </w:rPr>
        <w:t>Macro-economic forecasts and forward-looking information</w:t>
      </w:r>
      <w:proofErr w:type="gramStart"/>
      <w:r w:rsidR="009B6A3D" w:rsidRPr="00DD0749">
        <w:rPr>
          <w:rFonts w:ascii="Times New Roman" w:eastAsia="標楷體" w:hAnsi="Times New Roman" w:cs="Times New Roman" w:hint="eastAsia"/>
          <w:sz w:val="28"/>
          <w:szCs w:val="28"/>
        </w:rPr>
        <w:t>─</w:t>
      </w:r>
      <w:proofErr w:type="gramEnd"/>
      <w:r w:rsidR="009B6A3D" w:rsidRPr="00DD0749">
        <w:rPr>
          <w:rFonts w:ascii="Times New Roman" w:eastAsia="標楷體" w:hAnsi="Times New Roman" w:cs="Times New Roman"/>
          <w:sz w:val="28"/>
          <w:szCs w:val="28"/>
        </w:rPr>
        <w:t>A sophisticated approach</w:t>
      </w:r>
      <w:r w:rsidR="009B6A3D" w:rsidRPr="00DD0749">
        <w:rPr>
          <w:rFonts w:ascii="Times New Roman" w:eastAsia="標楷體" w:hAnsi="Times New Roman" w:hint="eastAsia"/>
          <w:sz w:val="28"/>
          <w:szCs w:val="28"/>
        </w:rPr>
        <w:t>)</w:t>
      </w:r>
      <w:r w:rsidR="009B6A3D" w:rsidRPr="00DD0749">
        <w:rPr>
          <w:rFonts w:ascii="Times New Roman" w:eastAsia="標楷體" w:hAnsi="Times New Roman" w:cs="Times New Roman" w:hint="eastAsia"/>
          <w:sz w:val="28"/>
          <w:szCs w:val="28"/>
        </w:rPr>
        <w:t>說明</w:t>
      </w:r>
      <w:r w:rsidR="00306411" w:rsidRPr="00DD0749">
        <w:rPr>
          <w:rFonts w:ascii="Times New Roman" w:eastAsia="標楷體" w:hAnsi="Times New Roman" w:cs="Times New Roman" w:hint="eastAsia"/>
          <w:sz w:val="28"/>
          <w:szCs w:val="28"/>
        </w:rPr>
        <w:t>及</w:t>
      </w:r>
      <w:r w:rsidRPr="00DD0749">
        <w:rPr>
          <w:rFonts w:ascii="Times New Roman" w:eastAsia="標楷體" w:hAnsi="Times New Roman" w:cs="Times New Roman" w:hint="eastAsia"/>
          <w:sz w:val="28"/>
          <w:szCs w:val="28"/>
        </w:rPr>
        <w:t>格物致知之附錄二、模型和方法論進階指南：</w:t>
      </w:r>
      <w:r w:rsidR="008E63BA" w:rsidRPr="00DD0749">
        <w:rPr>
          <w:rFonts w:ascii="Times New Roman" w:eastAsia="標楷體" w:hAnsi="Times New Roman" w:cs="Times New Roman" w:hint="eastAsia"/>
          <w:sz w:val="28"/>
          <w:szCs w:val="28"/>
        </w:rPr>
        <w:t>宏觀經濟預測</w:t>
      </w:r>
      <w:r w:rsidRPr="00DD0749">
        <w:rPr>
          <w:rFonts w:ascii="Times New Roman" w:eastAsia="標楷體" w:hAnsi="Times New Roman" w:cs="Times New Roman" w:hint="eastAsia"/>
          <w:sz w:val="28"/>
          <w:szCs w:val="28"/>
        </w:rPr>
        <w:t>和前瞻性</w:t>
      </w:r>
      <w:r w:rsidR="009B6A3D" w:rsidRPr="00DD0749">
        <w:rPr>
          <w:rFonts w:ascii="Times New Roman" w:eastAsia="標楷體" w:hAnsi="Times New Roman" w:cs="Times New Roman" w:hint="eastAsia"/>
          <w:sz w:val="28"/>
          <w:szCs w:val="28"/>
        </w:rPr>
        <w:t>信息</w:t>
      </w:r>
      <w:r w:rsidRPr="00DD0749">
        <w:rPr>
          <w:rFonts w:ascii="Times New Roman" w:eastAsia="標楷體" w:hAnsi="Times New Roman" w:cs="Times New Roman" w:hint="eastAsia"/>
          <w:sz w:val="28"/>
          <w:szCs w:val="28"/>
        </w:rPr>
        <w:t>。</w:t>
      </w:r>
    </w:p>
    <w:p w:rsidR="00213713" w:rsidRPr="00DD0749" w:rsidRDefault="00213713" w:rsidP="006002E4">
      <w:pPr>
        <w:spacing w:after="180"/>
        <w:jc w:val="both"/>
      </w:pPr>
    </w:p>
    <w:p w:rsidR="00213713" w:rsidRPr="00DD0749" w:rsidRDefault="003A291F" w:rsidP="006F1E80">
      <w:pPr>
        <w:pStyle w:val="a3"/>
        <w:spacing w:afterLines="50" w:line="500" w:lineRule="exact"/>
        <w:ind w:leftChars="300" w:left="720"/>
        <w:jc w:val="both"/>
        <w:rPr>
          <w:rFonts w:ascii="Times New Roman" w:eastAsia="標楷體" w:hAnsi="Times New Roman" w:cs="Times New Roman"/>
          <w:sz w:val="28"/>
          <w:szCs w:val="28"/>
        </w:rPr>
      </w:pPr>
      <w:proofErr w:type="gramStart"/>
      <w:r w:rsidRPr="00DD0749">
        <w:rPr>
          <w:rFonts w:ascii="Times New Roman" w:eastAsia="標楷體" w:hAnsi="Times New Roman" w:cs="Times New Roman" w:hint="eastAsia"/>
          <w:sz w:val="28"/>
          <w:szCs w:val="28"/>
        </w:rPr>
        <w:t>此外，</w:t>
      </w:r>
      <w:proofErr w:type="gramEnd"/>
      <w:r w:rsidRPr="00DD0749">
        <w:rPr>
          <w:rFonts w:ascii="Times New Roman" w:eastAsia="標楷體" w:hAnsi="Times New Roman" w:cs="Times New Roman" w:hint="eastAsia"/>
          <w:sz w:val="28"/>
          <w:szCs w:val="28"/>
        </w:rPr>
        <w:t>依</w:t>
      </w:r>
      <w:r w:rsidRPr="00DD0749">
        <w:rPr>
          <w:rFonts w:ascii="Times New Roman" w:eastAsia="標楷體" w:hAnsi="Times New Roman" w:cs="Times New Roman"/>
          <w:sz w:val="28"/>
          <w:szCs w:val="28"/>
        </w:rPr>
        <w:t xml:space="preserve">GPPC Paper </w:t>
      </w:r>
      <w:r w:rsidRPr="00DD0749">
        <w:rPr>
          <w:rFonts w:ascii="Times New Roman" w:eastAsia="標楷體" w:hAnsi="Times New Roman" w:cs="Times New Roman" w:hint="eastAsia"/>
          <w:sz w:val="28"/>
          <w:szCs w:val="28"/>
        </w:rPr>
        <w:t>第</w:t>
      </w:r>
      <w:r w:rsidRPr="00DD0749">
        <w:rPr>
          <w:rFonts w:ascii="Times New Roman" w:eastAsia="標楷體" w:hAnsi="Times New Roman" w:cs="Times New Roman"/>
          <w:sz w:val="28"/>
          <w:szCs w:val="28"/>
        </w:rPr>
        <w:t>2.8.3.1</w:t>
      </w:r>
      <w:r w:rsidRPr="00DD0749">
        <w:rPr>
          <w:rFonts w:ascii="Times New Roman" w:eastAsia="標楷體" w:hAnsi="Times New Roman" w:cs="Times New Roman" w:hint="eastAsia"/>
          <w:sz w:val="28"/>
          <w:szCs w:val="28"/>
        </w:rPr>
        <w:t>至</w:t>
      </w:r>
      <w:r w:rsidRPr="00DD0749">
        <w:rPr>
          <w:rFonts w:ascii="Times New Roman" w:eastAsia="標楷體" w:hAnsi="Times New Roman" w:cs="Times New Roman"/>
          <w:sz w:val="28"/>
          <w:szCs w:val="28"/>
        </w:rPr>
        <w:t>2.</w:t>
      </w:r>
      <w:r w:rsidR="004B21F1" w:rsidRPr="00DD0749">
        <w:rPr>
          <w:rFonts w:ascii="Times New Roman" w:eastAsia="標楷體" w:hAnsi="Times New Roman" w:cs="Times New Roman"/>
          <w:sz w:val="28"/>
          <w:szCs w:val="28"/>
        </w:rPr>
        <w:t>8</w:t>
      </w:r>
      <w:r w:rsidRPr="00DD0749">
        <w:rPr>
          <w:rFonts w:ascii="Times New Roman" w:eastAsia="標楷體" w:hAnsi="Times New Roman" w:cs="Times New Roman"/>
          <w:sz w:val="28"/>
          <w:szCs w:val="28"/>
        </w:rPr>
        <w:t>.3.2</w:t>
      </w:r>
      <w:r w:rsidRPr="00DD0749">
        <w:rPr>
          <w:rFonts w:ascii="Times New Roman" w:eastAsia="標楷體" w:hAnsi="Times New Roman" w:cs="Times New Roman" w:hint="eastAsia"/>
          <w:sz w:val="28"/>
          <w:szCs w:val="28"/>
        </w:rPr>
        <w:t>段</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簡化作法</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所述，銀行可以降低精細作法中每項原則所需的精細程度。銀行可對歷史違約或信用損失和當時所處之經濟週期的時點進行分析，然後以此結果估計經濟週期未來時點之預期信用損失。對於本身不具備分析數據之銀行</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例如，新成立的銀行</w:t>
      </w:r>
      <w:r w:rsidR="009B6A3D" w:rsidRPr="00DD0749">
        <w:rPr>
          <w:rFonts w:ascii="Times New Roman" w:eastAsia="標楷體" w:hAnsi="Times New Roman" w:hint="eastAsia"/>
          <w:sz w:val="28"/>
          <w:szCs w:val="28"/>
        </w:rPr>
        <w:t>)</w:t>
      </w:r>
      <w:r w:rsidRPr="00DD0749">
        <w:rPr>
          <w:rFonts w:ascii="Times New Roman" w:eastAsia="標楷體" w:hAnsi="Times New Roman" w:cs="Times New Roman" w:hint="eastAsia"/>
          <w:sz w:val="28"/>
          <w:szCs w:val="28"/>
        </w:rPr>
        <w:t>，可以利用可取得之外部資訊，如產業數據。</w:t>
      </w:r>
    </w:p>
    <w:p w:rsidR="00590049" w:rsidRPr="00DD0749" w:rsidRDefault="00590049" w:rsidP="00153065"/>
    <w:p w:rsidR="00153065" w:rsidRPr="00DD0749" w:rsidRDefault="00153065" w:rsidP="00153065">
      <w:pPr>
        <w:pStyle w:val="a3"/>
        <w:numPr>
          <w:ilvl w:val="0"/>
          <w:numId w:val="1"/>
        </w:numPr>
        <w:ind w:leftChars="0"/>
        <w:rPr>
          <w:rFonts w:ascii="Times New Roman" w:eastAsia="標楷體" w:hAnsi="Times New Roman"/>
          <w:b/>
          <w:sz w:val="32"/>
          <w:szCs w:val="32"/>
        </w:rPr>
      </w:pPr>
      <w:r w:rsidRPr="00DD0749">
        <w:rPr>
          <w:rFonts w:ascii="Times New Roman" w:eastAsia="標楷體" w:hAnsi="Times New Roman" w:hint="eastAsia"/>
          <w:b/>
          <w:sz w:val="32"/>
          <w:szCs w:val="32"/>
        </w:rPr>
        <w:t>結論及實務提醒事項</w:t>
      </w:r>
    </w:p>
    <w:p w:rsidR="006C59AE" w:rsidRPr="00DD0749" w:rsidRDefault="006C59AE" w:rsidP="006C59AE">
      <w:pPr>
        <w:autoSpaceDE w:val="0"/>
        <w:autoSpaceDN w:val="0"/>
        <w:adjustRightInd w:val="0"/>
        <w:spacing w:line="500" w:lineRule="exact"/>
        <w:ind w:leftChars="300" w:left="720"/>
        <w:rPr>
          <w:rFonts w:ascii="Times New Roman" w:eastAsia="標楷體" w:hAnsi="Times New Roman" w:cs="標楷體"/>
          <w:kern w:val="0"/>
          <w:sz w:val="28"/>
          <w:szCs w:val="24"/>
        </w:rPr>
      </w:pPr>
      <w:r w:rsidRPr="00DD0749">
        <w:rPr>
          <w:rFonts w:ascii="Times New Roman" w:eastAsia="標楷體" w:hAnsi="Times New Roman" w:cs="標楷體" w:hint="eastAsia"/>
          <w:kern w:val="0"/>
          <w:sz w:val="28"/>
          <w:szCs w:val="24"/>
        </w:rPr>
        <w:t>關於前瞻性資訊之應用，</w:t>
      </w:r>
      <w:r w:rsidRPr="00DD0749">
        <w:rPr>
          <w:rFonts w:ascii="Times New Roman" w:eastAsia="標楷體" w:hAnsi="Times New Roman" w:cs="標楷體" w:hint="eastAsia"/>
          <w:kern w:val="0"/>
          <w:sz w:val="28"/>
          <w:szCs w:val="24"/>
        </w:rPr>
        <w:t>ITG</w:t>
      </w:r>
      <w:r w:rsidRPr="00DD0749">
        <w:rPr>
          <w:rFonts w:ascii="Times New Roman" w:eastAsia="標楷體" w:hAnsi="Times New Roman" w:cs="標楷體" w:hint="eastAsia"/>
          <w:kern w:val="0"/>
          <w:sz w:val="28"/>
          <w:szCs w:val="24"/>
        </w:rPr>
        <w:t>會議於</w:t>
      </w:r>
      <w:r w:rsidRPr="00DD0749">
        <w:rPr>
          <w:rFonts w:ascii="Times New Roman" w:eastAsia="標楷體" w:hAnsi="Times New Roman" w:cs="標楷體" w:hint="eastAsia"/>
          <w:kern w:val="0"/>
          <w:sz w:val="28"/>
          <w:szCs w:val="24"/>
        </w:rPr>
        <w:t>2015.9.16</w:t>
      </w:r>
      <w:r w:rsidRPr="00DD0749">
        <w:rPr>
          <w:rFonts w:ascii="Times New Roman" w:eastAsia="標楷體" w:hAnsi="Times New Roman" w:cs="標楷體" w:hint="eastAsia"/>
          <w:kern w:val="0"/>
          <w:sz w:val="28"/>
          <w:szCs w:val="24"/>
        </w:rPr>
        <w:t>及</w:t>
      </w:r>
      <w:r w:rsidRPr="00DD0749">
        <w:rPr>
          <w:rFonts w:ascii="Times New Roman" w:eastAsia="標楷體" w:hAnsi="Times New Roman" w:cs="標楷體" w:hint="eastAsia"/>
          <w:kern w:val="0"/>
          <w:sz w:val="28"/>
          <w:szCs w:val="24"/>
        </w:rPr>
        <w:t>2015.12.11</w:t>
      </w:r>
      <w:r w:rsidRPr="00DD0749">
        <w:rPr>
          <w:rFonts w:ascii="Times New Roman" w:eastAsia="標楷體" w:hAnsi="Times New Roman" w:cs="標楷體" w:hint="eastAsia"/>
          <w:kern w:val="0"/>
          <w:sz w:val="28"/>
          <w:szCs w:val="24"/>
        </w:rPr>
        <w:t>亦有相關討</w:t>
      </w:r>
      <w:r w:rsidRPr="00DD0749">
        <w:rPr>
          <w:rFonts w:ascii="Times New Roman" w:eastAsia="標楷體" w:hAnsi="Times New Roman" w:cs="標楷體" w:hint="eastAsia"/>
          <w:kern w:val="0"/>
          <w:sz w:val="28"/>
          <w:szCs w:val="24"/>
        </w:rPr>
        <w:lastRenderedPageBreak/>
        <w:t>論及共識，可作為企業實務應用之參考。</w:t>
      </w:r>
    </w:p>
    <w:p w:rsidR="00547A22" w:rsidRPr="00DD0749" w:rsidRDefault="00665638" w:rsidP="00547A22">
      <w:pPr>
        <w:pStyle w:val="a3"/>
        <w:numPr>
          <w:ilvl w:val="0"/>
          <w:numId w:val="3"/>
        </w:numPr>
        <w:autoSpaceDE w:val="0"/>
        <w:autoSpaceDN w:val="0"/>
        <w:adjustRightInd w:val="0"/>
        <w:spacing w:line="500" w:lineRule="exact"/>
        <w:ind w:leftChars="0" w:left="1276" w:hanging="567"/>
        <w:jc w:val="both"/>
        <w:rPr>
          <w:rFonts w:ascii="Times New Roman" w:eastAsia="標楷體" w:hAnsi="Times New Roman" w:cs="標楷體"/>
          <w:kern w:val="0"/>
          <w:sz w:val="28"/>
          <w:szCs w:val="28"/>
        </w:rPr>
      </w:pPr>
      <w:r w:rsidRPr="00DD0749">
        <w:rPr>
          <w:rFonts w:ascii="Times New Roman" w:eastAsia="標楷體" w:hAnsi="Times New Roman" w:cs="標楷體"/>
          <w:kern w:val="0"/>
          <w:sz w:val="28"/>
          <w:szCs w:val="28"/>
        </w:rPr>
        <w:t>IFRS 9</w:t>
      </w:r>
      <w:r w:rsidRPr="00DD0749">
        <w:rPr>
          <w:rFonts w:ascii="Times New Roman" w:eastAsia="標楷體" w:hAnsi="Times New Roman" w:cs="標楷體" w:hint="eastAsia"/>
          <w:kern w:val="0"/>
          <w:sz w:val="28"/>
          <w:szCs w:val="28"/>
        </w:rPr>
        <w:t>對於如何衡量預期信用損失並未提供一套具體的方法，而企業</w:t>
      </w:r>
      <w:r w:rsidR="004B7B50" w:rsidRPr="00DD0749">
        <w:rPr>
          <w:rFonts w:ascii="Times New Roman" w:eastAsia="標楷體" w:hAnsi="Times New Roman" w:cs="標楷體" w:hint="eastAsia"/>
          <w:kern w:val="0"/>
          <w:sz w:val="28"/>
          <w:szCs w:val="28"/>
        </w:rPr>
        <w:t>不論</w:t>
      </w:r>
      <w:r w:rsidRPr="00DD0749">
        <w:rPr>
          <w:rFonts w:ascii="Times New Roman" w:eastAsia="標楷體" w:hAnsi="Times New Roman" w:cs="標楷體" w:hint="eastAsia"/>
          <w:kern w:val="0"/>
          <w:sz w:val="28"/>
          <w:szCs w:val="28"/>
        </w:rPr>
        <w:t>採用</w:t>
      </w:r>
      <w:r w:rsidR="004B7B50" w:rsidRPr="00DD0749">
        <w:rPr>
          <w:rFonts w:ascii="Times New Roman" w:eastAsia="標楷體" w:hAnsi="Times New Roman" w:cs="標楷體" w:hint="eastAsia"/>
          <w:kern w:val="0"/>
          <w:sz w:val="28"/>
          <w:szCs w:val="28"/>
        </w:rPr>
        <w:t>何種</w:t>
      </w:r>
      <w:r w:rsidRPr="00DD0749">
        <w:rPr>
          <w:rFonts w:ascii="Times New Roman" w:eastAsia="標楷體" w:hAnsi="Times New Roman" w:cs="標楷體" w:hint="eastAsia"/>
          <w:kern w:val="0"/>
          <w:sz w:val="28"/>
          <w:szCs w:val="28"/>
        </w:rPr>
        <w:t>方法</w:t>
      </w:r>
      <w:r w:rsidR="004B7B50" w:rsidRPr="00DD0749">
        <w:rPr>
          <w:rFonts w:ascii="Times New Roman" w:eastAsia="標楷體" w:hAnsi="Times New Roman" w:cs="標楷體" w:hint="eastAsia"/>
          <w:kern w:val="0"/>
          <w:sz w:val="28"/>
          <w:szCs w:val="28"/>
        </w:rPr>
        <w:t>皆</w:t>
      </w:r>
      <w:r w:rsidRPr="00DD0749">
        <w:rPr>
          <w:rFonts w:ascii="Times New Roman" w:eastAsia="標楷體" w:hAnsi="Times New Roman" w:cs="標楷體" w:hint="eastAsia"/>
          <w:kern w:val="0"/>
          <w:sz w:val="28"/>
          <w:szCs w:val="28"/>
        </w:rPr>
        <w:t>須符合</w:t>
      </w:r>
      <w:r w:rsidRPr="00DD0749">
        <w:rPr>
          <w:rFonts w:ascii="Times New Roman" w:eastAsia="標楷體" w:hAnsi="Times New Roman" w:cs="標楷體"/>
          <w:kern w:val="0"/>
          <w:sz w:val="28"/>
          <w:szCs w:val="28"/>
        </w:rPr>
        <w:t>IFRS 9</w:t>
      </w:r>
      <w:r w:rsidR="00761F07" w:rsidRPr="00DD0749">
        <w:rPr>
          <w:rFonts w:ascii="Times New Roman" w:eastAsia="標楷體" w:hAnsi="Times New Roman" w:cs="標楷體" w:hint="eastAsia"/>
          <w:kern w:val="0"/>
          <w:sz w:val="28"/>
          <w:szCs w:val="28"/>
        </w:rPr>
        <w:t>第</w:t>
      </w:r>
      <w:r w:rsidR="00761F07" w:rsidRPr="00DD0749">
        <w:rPr>
          <w:rFonts w:ascii="Times New Roman" w:eastAsia="標楷體" w:hAnsi="Times New Roman" w:cs="標楷體" w:hint="eastAsia"/>
          <w:kern w:val="0"/>
          <w:sz w:val="28"/>
          <w:szCs w:val="28"/>
        </w:rPr>
        <w:t>5.5.17</w:t>
      </w:r>
      <w:r w:rsidR="00761F07" w:rsidRPr="00DD0749">
        <w:rPr>
          <w:rFonts w:ascii="Times New Roman" w:eastAsia="標楷體" w:hAnsi="Times New Roman" w:cs="標楷體" w:hint="eastAsia"/>
          <w:kern w:val="0"/>
          <w:sz w:val="28"/>
          <w:szCs w:val="28"/>
        </w:rPr>
        <w:t>段</w:t>
      </w:r>
      <w:r w:rsidR="007F1D7B" w:rsidRPr="00DD0749">
        <w:rPr>
          <w:rFonts w:ascii="Times New Roman" w:eastAsia="標楷體" w:hAnsi="Times New Roman" w:cs="標楷體" w:hint="eastAsia"/>
          <w:kern w:val="0"/>
          <w:sz w:val="28"/>
          <w:szCs w:val="28"/>
        </w:rPr>
        <w:t>之</w:t>
      </w:r>
      <w:r w:rsidR="00761F07" w:rsidRPr="00DD0749">
        <w:rPr>
          <w:rFonts w:ascii="Times New Roman" w:eastAsia="標楷體" w:hAnsi="Times New Roman" w:cs="標楷體" w:hint="eastAsia"/>
          <w:kern w:val="0"/>
          <w:sz w:val="28"/>
          <w:szCs w:val="28"/>
        </w:rPr>
        <w:t>衡量</w:t>
      </w:r>
      <w:r w:rsidRPr="00DD0749">
        <w:rPr>
          <w:rFonts w:ascii="Times New Roman" w:eastAsia="標楷體" w:hAnsi="Times New Roman" w:cs="標楷體" w:hint="eastAsia"/>
          <w:kern w:val="0"/>
          <w:sz w:val="28"/>
          <w:szCs w:val="28"/>
        </w:rPr>
        <w:t>目標</w:t>
      </w:r>
      <w:r w:rsidR="00761F07" w:rsidRPr="00DD0749">
        <w:rPr>
          <w:rFonts w:ascii="Times New Roman" w:eastAsia="標楷體" w:hAnsi="Times New Roman" w:cs="標楷體" w:hint="eastAsia"/>
          <w:kern w:val="0"/>
          <w:sz w:val="28"/>
          <w:szCs w:val="28"/>
        </w:rPr>
        <w:t>：</w:t>
      </w:r>
      <w:r w:rsidR="00761F07" w:rsidRPr="00DD0749">
        <w:rPr>
          <w:rFonts w:ascii="Times New Roman" w:eastAsia="標楷體" w:hAnsi="Times New Roman" w:cs="標楷體" w:hint="eastAsia"/>
          <w:kern w:val="0"/>
          <w:sz w:val="28"/>
          <w:szCs w:val="28"/>
        </w:rPr>
        <w:t>(a)</w:t>
      </w:r>
      <w:r w:rsidR="006C59AE" w:rsidRPr="00DD0749">
        <w:rPr>
          <w:rFonts w:ascii="Times New Roman" w:eastAsia="標楷體" w:hAnsi="Times New Roman" w:cs="標楷體" w:hint="eastAsia"/>
          <w:kern w:val="0"/>
          <w:sz w:val="28"/>
          <w:szCs w:val="28"/>
        </w:rPr>
        <w:t>評估各種可能結果而決定之</w:t>
      </w:r>
      <w:proofErr w:type="gramStart"/>
      <w:r w:rsidR="006C59AE" w:rsidRPr="00DD0749">
        <w:rPr>
          <w:rFonts w:ascii="Times New Roman" w:eastAsia="標楷體" w:hAnsi="Times New Roman" w:cs="標楷體" w:hint="eastAsia"/>
          <w:kern w:val="0"/>
          <w:sz w:val="28"/>
          <w:szCs w:val="28"/>
        </w:rPr>
        <w:t>不偏且機率</w:t>
      </w:r>
      <w:proofErr w:type="gramEnd"/>
      <w:r w:rsidR="006C59AE" w:rsidRPr="00DD0749">
        <w:rPr>
          <w:rFonts w:ascii="Times New Roman" w:eastAsia="標楷體" w:hAnsi="Times New Roman" w:cs="標楷體" w:hint="eastAsia"/>
          <w:kern w:val="0"/>
          <w:sz w:val="28"/>
          <w:szCs w:val="28"/>
        </w:rPr>
        <w:t>加權平均之金額</w:t>
      </w:r>
      <w:r w:rsidR="00761F07" w:rsidRPr="00DD0749">
        <w:rPr>
          <w:rFonts w:ascii="Times New Roman" w:eastAsia="標楷體" w:hAnsi="Times New Roman" w:cs="標楷體" w:hint="eastAsia"/>
          <w:kern w:val="0"/>
          <w:sz w:val="28"/>
          <w:szCs w:val="28"/>
        </w:rPr>
        <w:t>；</w:t>
      </w:r>
      <w:r w:rsidR="00761F07" w:rsidRPr="00DD0749">
        <w:rPr>
          <w:rFonts w:ascii="Times New Roman" w:eastAsia="標楷體" w:hAnsi="Times New Roman" w:cs="標楷體" w:hint="eastAsia"/>
          <w:kern w:val="0"/>
          <w:sz w:val="28"/>
          <w:szCs w:val="28"/>
        </w:rPr>
        <w:t>(b)</w:t>
      </w:r>
      <w:r w:rsidR="00761F07" w:rsidRPr="00DD0749">
        <w:rPr>
          <w:rFonts w:ascii="Times New Roman" w:eastAsia="標楷體" w:hAnsi="Times New Roman" w:cs="標楷體" w:hint="eastAsia"/>
          <w:kern w:val="0"/>
          <w:sz w:val="28"/>
          <w:szCs w:val="28"/>
        </w:rPr>
        <w:t>貨幣時間價值；</w:t>
      </w:r>
      <w:r w:rsidR="00761F07" w:rsidRPr="00DD0749">
        <w:rPr>
          <w:rFonts w:ascii="Times New Roman" w:eastAsia="標楷體" w:hAnsi="Times New Roman" w:cs="標楷體" w:hint="eastAsia"/>
          <w:kern w:val="0"/>
          <w:sz w:val="28"/>
          <w:szCs w:val="28"/>
        </w:rPr>
        <w:t>(c)</w:t>
      </w:r>
      <w:r w:rsidR="00761F07" w:rsidRPr="00DD0749">
        <w:rPr>
          <w:rFonts w:ascii="Times New Roman" w:eastAsia="標楷體" w:hAnsi="Times New Roman" w:hint="eastAsia"/>
          <w:sz w:val="28"/>
          <w:szCs w:val="28"/>
        </w:rPr>
        <w:t>應考量所有無需過度成本或投入即可取得之合理且可佐證之資訊</w:t>
      </w:r>
      <w:r w:rsidR="006C59AE" w:rsidRPr="00DD0749">
        <w:rPr>
          <w:rFonts w:ascii="Times New Roman" w:eastAsia="標楷體" w:hAnsi="Times New Roman" w:cs="標楷體" w:hint="eastAsia"/>
          <w:kern w:val="0"/>
          <w:sz w:val="28"/>
          <w:szCs w:val="28"/>
        </w:rPr>
        <w:t>。</w:t>
      </w:r>
    </w:p>
    <w:p w:rsidR="00827400" w:rsidRPr="00DD0749" w:rsidRDefault="00827400" w:rsidP="00547A22">
      <w:pPr>
        <w:pStyle w:val="a3"/>
        <w:numPr>
          <w:ilvl w:val="0"/>
          <w:numId w:val="3"/>
        </w:numPr>
        <w:autoSpaceDE w:val="0"/>
        <w:autoSpaceDN w:val="0"/>
        <w:adjustRightInd w:val="0"/>
        <w:spacing w:line="500" w:lineRule="exact"/>
        <w:ind w:leftChars="0" w:left="1276" w:hanging="567"/>
        <w:jc w:val="both"/>
        <w:rPr>
          <w:rFonts w:ascii="Times New Roman" w:eastAsia="標楷體" w:hAnsi="Times New Roman" w:cs="標楷體"/>
          <w:kern w:val="0"/>
          <w:sz w:val="28"/>
          <w:szCs w:val="28"/>
        </w:rPr>
      </w:pPr>
      <w:r w:rsidRPr="00DD0749">
        <w:rPr>
          <w:rFonts w:ascii="Times New Roman" w:eastAsia="標楷體" w:hAnsi="Times New Roman" w:cs="標楷體" w:hint="eastAsia"/>
          <w:kern w:val="0"/>
          <w:sz w:val="28"/>
          <w:szCs w:val="28"/>
        </w:rPr>
        <w:t>由於前瞻性資訊與不確定性及持續變化的情況有關，因此在決定前瞻性資訊的採用上，</w:t>
      </w:r>
      <w:r w:rsidRPr="00DD0749">
        <w:rPr>
          <w:rFonts w:ascii="Times New Roman" w:eastAsia="標楷體" w:hAnsi="Times New Roman" w:cs="標楷體" w:hint="eastAsia"/>
          <w:kern w:val="0"/>
          <w:sz w:val="28"/>
          <w:szCs w:val="28"/>
        </w:rPr>
        <w:t>ITG</w:t>
      </w:r>
      <w:r w:rsidRPr="00DD0749">
        <w:rPr>
          <w:rFonts w:ascii="Times New Roman" w:eastAsia="標楷體" w:hAnsi="Times New Roman" w:cs="標楷體" w:hint="eastAsia"/>
          <w:kern w:val="0"/>
          <w:sz w:val="28"/>
          <w:szCs w:val="28"/>
        </w:rPr>
        <w:t>成員強調建立良好的管理及程序是必要的。</w:t>
      </w:r>
    </w:p>
    <w:p w:rsidR="006C59AE" w:rsidRPr="00DD0749" w:rsidRDefault="00761F07" w:rsidP="00547A22">
      <w:pPr>
        <w:pStyle w:val="a3"/>
        <w:numPr>
          <w:ilvl w:val="0"/>
          <w:numId w:val="3"/>
        </w:numPr>
        <w:autoSpaceDE w:val="0"/>
        <w:autoSpaceDN w:val="0"/>
        <w:adjustRightInd w:val="0"/>
        <w:spacing w:line="500" w:lineRule="exact"/>
        <w:ind w:leftChars="0" w:left="1276" w:hanging="567"/>
        <w:jc w:val="both"/>
        <w:rPr>
          <w:rFonts w:ascii="Times New Roman" w:eastAsia="標楷體" w:hAnsi="Times New Roman" w:cs="標楷體"/>
          <w:kern w:val="0"/>
          <w:sz w:val="28"/>
          <w:szCs w:val="28"/>
        </w:rPr>
      </w:pPr>
      <w:r w:rsidRPr="00DD0749">
        <w:rPr>
          <w:rFonts w:ascii="Times New Roman" w:eastAsia="標楷體" w:hAnsi="Times New Roman" w:cs="標楷體" w:hint="eastAsia"/>
          <w:kern w:val="0"/>
          <w:sz w:val="28"/>
          <w:szCs w:val="28"/>
        </w:rPr>
        <w:t>於</w:t>
      </w:r>
      <w:r w:rsidR="006C59AE" w:rsidRPr="00DD0749">
        <w:rPr>
          <w:rFonts w:ascii="Times New Roman" w:eastAsia="標楷體" w:hAnsi="Times New Roman" w:cs="標楷體" w:hint="eastAsia"/>
          <w:kern w:val="0"/>
          <w:sz w:val="28"/>
          <w:szCs w:val="28"/>
        </w:rPr>
        <w:t>決定最適當的方法將</w:t>
      </w:r>
      <w:r w:rsidR="00547A22" w:rsidRPr="00DD0749">
        <w:rPr>
          <w:rFonts w:ascii="Times New Roman" w:eastAsia="標楷體" w:hAnsi="Times New Roman" w:cs="標楷體" w:hint="eastAsia"/>
          <w:kern w:val="0"/>
          <w:sz w:val="28"/>
          <w:szCs w:val="28"/>
        </w:rPr>
        <w:t>多項</w:t>
      </w:r>
      <w:r w:rsidR="006C59AE" w:rsidRPr="00DD0749">
        <w:rPr>
          <w:rFonts w:ascii="Times New Roman" w:eastAsia="標楷體" w:hAnsi="Times New Roman" w:cs="標楷體" w:hint="eastAsia"/>
          <w:kern w:val="0"/>
          <w:sz w:val="28"/>
          <w:szCs w:val="28"/>
        </w:rPr>
        <w:t>前瞻性</w:t>
      </w:r>
      <w:r w:rsidR="00547A22" w:rsidRPr="00DD0749">
        <w:rPr>
          <w:rFonts w:ascii="Times New Roman" w:eastAsia="標楷體" w:hAnsi="Times New Roman" w:cs="標楷體" w:hint="eastAsia"/>
          <w:kern w:val="0"/>
          <w:sz w:val="28"/>
          <w:szCs w:val="28"/>
        </w:rPr>
        <w:t>情境</w:t>
      </w:r>
      <w:r w:rsidR="007F1D7B" w:rsidRPr="00DD0749">
        <w:rPr>
          <w:rFonts w:ascii="Times New Roman" w:eastAsia="標楷體" w:hAnsi="Times New Roman" w:cs="標楷體" w:hint="eastAsia"/>
          <w:kern w:val="0"/>
          <w:sz w:val="28"/>
          <w:szCs w:val="28"/>
        </w:rPr>
        <w:t>併入預期信用損失之衡量時，將重大性列入考量是必要的，且涉及高度判斷。</w:t>
      </w:r>
      <w:r w:rsidR="007F1D7B" w:rsidRPr="00DD0749">
        <w:rPr>
          <w:rFonts w:ascii="Times New Roman" w:eastAsia="標楷體" w:hAnsi="Times New Roman" w:cs="標楷體" w:hint="eastAsia"/>
          <w:kern w:val="0"/>
          <w:sz w:val="28"/>
          <w:szCs w:val="28"/>
        </w:rPr>
        <w:t>ITG</w:t>
      </w:r>
      <w:r w:rsidR="007F1D7B" w:rsidRPr="00DD0749">
        <w:rPr>
          <w:rFonts w:ascii="Times New Roman" w:eastAsia="標楷體" w:hAnsi="Times New Roman" w:cs="標楷體" w:hint="eastAsia"/>
          <w:kern w:val="0"/>
          <w:sz w:val="28"/>
          <w:szCs w:val="28"/>
        </w:rPr>
        <w:t>成員強調依據</w:t>
      </w:r>
      <w:r w:rsidR="007F1D7B" w:rsidRPr="00DD0749">
        <w:rPr>
          <w:rFonts w:ascii="Times New Roman" w:eastAsia="標楷體" w:hAnsi="Times New Roman" w:cs="標楷體" w:hint="eastAsia"/>
          <w:kern w:val="0"/>
          <w:sz w:val="28"/>
          <w:szCs w:val="28"/>
        </w:rPr>
        <w:t>IFRS 7</w:t>
      </w:r>
      <w:r w:rsidR="007F1D7B" w:rsidRPr="00DD0749">
        <w:rPr>
          <w:rFonts w:ascii="Times New Roman" w:eastAsia="標楷體" w:hAnsi="Times New Roman" w:cs="標楷體" w:hint="eastAsia"/>
          <w:kern w:val="0"/>
          <w:sz w:val="28"/>
          <w:szCs w:val="28"/>
        </w:rPr>
        <w:t>揭露如何將前瞻性資訊納入預期信用損失之決定</w:t>
      </w:r>
      <w:r w:rsidR="006C59AE" w:rsidRPr="00DD0749">
        <w:rPr>
          <w:rFonts w:ascii="Times New Roman" w:eastAsia="標楷體" w:hAnsi="Times New Roman" w:cs="標楷體" w:hint="eastAsia"/>
          <w:kern w:val="0"/>
          <w:sz w:val="28"/>
          <w:szCs w:val="28"/>
        </w:rPr>
        <w:t>是相當重要的。</w:t>
      </w:r>
    </w:p>
    <w:p w:rsidR="007F1D7B" w:rsidRPr="00DD0749" w:rsidRDefault="007F1D7B" w:rsidP="007F1D7B">
      <w:pPr>
        <w:autoSpaceDE w:val="0"/>
        <w:autoSpaceDN w:val="0"/>
        <w:adjustRightInd w:val="0"/>
        <w:spacing w:line="500" w:lineRule="exact"/>
        <w:ind w:left="709"/>
        <w:jc w:val="both"/>
        <w:rPr>
          <w:rFonts w:ascii="Times New Roman" w:eastAsia="標楷體" w:hAnsi="Times New Roman" w:cs="標楷體"/>
          <w:kern w:val="0"/>
          <w:sz w:val="28"/>
          <w:szCs w:val="28"/>
        </w:rPr>
      </w:pPr>
    </w:p>
    <w:p w:rsidR="00F212DF" w:rsidRPr="00DD0749" w:rsidRDefault="00F212DF" w:rsidP="00F212DF">
      <w:pPr>
        <w:pStyle w:val="a3"/>
        <w:numPr>
          <w:ilvl w:val="0"/>
          <w:numId w:val="1"/>
        </w:numPr>
        <w:ind w:leftChars="0"/>
        <w:rPr>
          <w:rFonts w:ascii="Times New Roman" w:eastAsia="標楷體" w:hAnsi="Times New Roman"/>
          <w:b/>
          <w:sz w:val="32"/>
          <w:szCs w:val="32"/>
        </w:rPr>
      </w:pPr>
      <w:r w:rsidRPr="00DD0749">
        <w:rPr>
          <w:rFonts w:ascii="Times New Roman" w:eastAsia="標楷體" w:hAnsi="Times New Roman" w:hint="eastAsia"/>
          <w:b/>
          <w:sz w:val="32"/>
          <w:szCs w:val="32"/>
        </w:rPr>
        <w:t>資料來源</w:t>
      </w:r>
    </w:p>
    <w:p w:rsidR="00F212DF" w:rsidRPr="00DD0749" w:rsidRDefault="00F212DF" w:rsidP="00F212DF">
      <w:pPr>
        <w:pStyle w:val="a3"/>
        <w:numPr>
          <w:ilvl w:val="0"/>
          <w:numId w:val="2"/>
        </w:numPr>
        <w:spacing w:line="500" w:lineRule="exact"/>
        <w:ind w:leftChars="0" w:left="1077" w:hanging="357"/>
        <w:rPr>
          <w:rFonts w:asciiTheme="majorHAnsi" w:eastAsia="標楷體" w:hAnsiTheme="majorHAnsi" w:cs="Times New Roman"/>
          <w:sz w:val="28"/>
          <w:szCs w:val="28"/>
        </w:rPr>
      </w:pPr>
      <w:r w:rsidRPr="00DD0749">
        <w:rPr>
          <w:rFonts w:asciiTheme="majorHAnsi" w:eastAsia="標楷體" w:hAnsiTheme="majorHAnsi" w:cs="Times New Roman" w:hint="eastAsia"/>
          <w:iCs/>
          <w:sz w:val="28"/>
          <w:szCs w:val="28"/>
        </w:rPr>
        <w:t>中華民國銀行商業同業公會全國聯合會「</w:t>
      </w:r>
      <w:r w:rsidRPr="00DD0749">
        <w:rPr>
          <w:rFonts w:asciiTheme="majorHAnsi" w:eastAsia="標楷體" w:hAnsiTheme="majorHAnsi" w:cs="Times New Roman" w:hint="eastAsia"/>
          <w:sz w:val="28"/>
          <w:szCs w:val="28"/>
        </w:rPr>
        <w:t>減損評估方法論指引」</w:t>
      </w:r>
    </w:p>
    <w:p w:rsidR="00EF3430" w:rsidRPr="00DD0749" w:rsidRDefault="00EF3430" w:rsidP="00F212DF">
      <w:pPr>
        <w:pStyle w:val="a3"/>
        <w:numPr>
          <w:ilvl w:val="0"/>
          <w:numId w:val="2"/>
        </w:numPr>
        <w:spacing w:line="500" w:lineRule="exact"/>
        <w:ind w:leftChars="0" w:left="1077" w:hanging="357"/>
        <w:rPr>
          <w:rFonts w:asciiTheme="majorHAnsi" w:eastAsia="標楷體" w:hAnsiTheme="majorHAnsi" w:cs="Times New Roman"/>
          <w:sz w:val="28"/>
          <w:szCs w:val="28"/>
        </w:rPr>
      </w:pPr>
      <w:r w:rsidRPr="00DD0749">
        <w:rPr>
          <w:rFonts w:asciiTheme="majorHAnsi" w:eastAsia="標楷體" w:hAnsiTheme="majorHAnsi" w:cs="Times New Roman"/>
          <w:sz w:val="28"/>
          <w:szCs w:val="28"/>
        </w:rPr>
        <w:t>IFRS 9</w:t>
      </w:r>
      <w:r w:rsidRPr="00DD0749">
        <w:rPr>
          <w:rFonts w:asciiTheme="majorHAnsi" w:eastAsia="標楷體" w:hAnsiTheme="majorHAnsi" w:cs="Times New Roman" w:hint="eastAsia"/>
          <w:sz w:val="28"/>
          <w:szCs w:val="28"/>
        </w:rPr>
        <w:t>「金融工具」正體中文版</w:t>
      </w:r>
    </w:p>
    <w:p w:rsidR="006A11BD" w:rsidRPr="00DD0749" w:rsidRDefault="006A11BD" w:rsidP="006A11BD">
      <w:pPr>
        <w:pStyle w:val="a3"/>
        <w:numPr>
          <w:ilvl w:val="0"/>
          <w:numId w:val="2"/>
        </w:numPr>
        <w:spacing w:line="500" w:lineRule="exact"/>
        <w:ind w:leftChars="0" w:left="1077" w:hanging="357"/>
        <w:rPr>
          <w:rFonts w:ascii="Times New Roman" w:eastAsia="標楷體" w:hAnsi="Times New Roman" w:cs="Times New Roman"/>
          <w:iCs/>
          <w:sz w:val="28"/>
          <w:szCs w:val="28"/>
        </w:rPr>
      </w:pPr>
      <w:r w:rsidRPr="00DD0749">
        <w:rPr>
          <w:rFonts w:ascii="Times New Roman" w:eastAsia="標楷體" w:hAnsi="Times New Roman" w:cs="Times New Roman" w:hint="eastAsia"/>
          <w:sz w:val="28"/>
          <w:szCs w:val="28"/>
        </w:rPr>
        <w:t>ITG</w:t>
      </w:r>
      <w:r w:rsidR="00306411" w:rsidRPr="00DD0749">
        <w:rPr>
          <w:rStyle w:val="af1"/>
          <w:rFonts w:ascii="Times New Roman" w:eastAsia="標楷體" w:hAnsi="Times New Roman" w:cs="Times New Roman"/>
          <w:sz w:val="28"/>
          <w:szCs w:val="28"/>
        </w:rPr>
        <w:footnoteReference w:id="1"/>
      </w:r>
      <w:r w:rsidRPr="00DD0749">
        <w:rPr>
          <w:rFonts w:ascii="Times New Roman" w:eastAsia="標楷體" w:hAnsi="Times New Roman" w:cs="Times New Roman" w:hint="eastAsia"/>
          <w:sz w:val="28"/>
          <w:szCs w:val="28"/>
        </w:rPr>
        <w:t xml:space="preserve"> </w:t>
      </w:r>
      <w:r w:rsidRPr="00DD0749">
        <w:rPr>
          <w:rFonts w:ascii="Times New Roman" w:eastAsia="標楷體" w:hAnsi="Times New Roman" w:cs="Times New Roman" w:hint="eastAsia"/>
          <w:sz w:val="28"/>
          <w:szCs w:val="28"/>
        </w:rPr>
        <w:t>會議摘要</w:t>
      </w:r>
      <w:r w:rsidRPr="00DD0749">
        <w:rPr>
          <w:rFonts w:ascii="Times New Roman" w:eastAsia="標楷體" w:hAnsi="Times New Roman" w:cs="Times New Roman" w:hint="eastAsia"/>
          <w:sz w:val="28"/>
          <w:szCs w:val="28"/>
        </w:rPr>
        <w:t>: 2015.9.16</w:t>
      </w:r>
      <w:r w:rsidRPr="00DD0749">
        <w:rPr>
          <w:rFonts w:ascii="Times New Roman" w:eastAsia="標楷體" w:hAnsi="Times New Roman" w:cs="Times New Roman" w:hint="eastAsia"/>
          <w:sz w:val="28"/>
          <w:szCs w:val="28"/>
        </w:rPr>
        <w:t>及</w:t>
      </w:r>
      <w:r w:rsidRPr="00DD0749">
        <w:rPr>
          <w:rFonts w:ascii="Times New Roman" w:eastAsia="標楷體" w:hAnsi="Times New Roman" w:cs="Times New Roman" w:hint="eastAsia"/>
          <w:sz w:val="28"/>
          <w:szCs w:val="28"/>
        </w:rPr>
        <w:t>2015.12.11</w:t>
      </w:r>
    </w:p>
    <w:p w:rsidR="00306411" w:rsidRPr="00DD0749" w:rsidRDefault="003A291F" w:rsidP="00306411">
      <w:pPr>
        <w:pStyle w:val="a3"/>
        <w:numPr>
          <w:ilvl w:val="0"/>
          <w:numId w:val="2"/>
        </w:numPr>
        <w:spacing w:line="500" w:lineRule="exact"/>
        <w:ind w:leftChars="0" w:left="1077" w:hanging="357"/>
        <w:rPr>
          <w:rFonts w:ascii="Times New Roman" w:eastAsia="標楷體" w:hAnsi="Times New Roman" w:cs="Times New Roman"/>
          <w:iCs/>
          <w:sz w:val="28"/>
          <w:szCs w:val="28"/>
        </w:rPr>
      </w:pPr>
      <w:r w:rsidRPr="00DD0749">
        <w:rPr>
          <w:rFonts w:ascii="Times New Roman" w:eastAsia="標楷體" w:hAnsi="Times New Roman" w:cs="Times New Roman"/>
          <w:sz w:val="28"/>
          <w:szCs w:val="28"/>
        </w:rPr>
        <w:t>Global Public Policy Committee</w:t>
      </w:r>
      <w:r w:rsidRPr="00DD0749">
        <w:rPr>
          <w:rStyle w:val="af1"/>
          <w:rFonts w:ascii="Times New Roman" w:eastAsia="標楷體" w:hAnsi="Times New Roman" w:cs="Times New Roman"/>
          <w:sz w:val="28"/>
          <w:szCs w:val="28"/>
        </w:rPr>
        <w:footnoteReference w:id="2"/>
      </w:r>
      <w:r w:rsidRPr="00DD0749">
        <w:rPr>
          <w:rFonts w:ascii="Times New Roman" w:eastAsia="標楷體" w:hAnsi="Times New Roman" w:cs="Times New Roman"/>
          <w:sz w:val="28"/>
          <w:szCs w:val="28"/>
        </w:rPr>
        <w:t xml:space="preserve"> (GPPC) Paper, 2016.6.17</w:t>
      </w:r>
    </w:p>
    <w:p w:rsidR="00306411" w:rsidRPr="00DD0749" w:rsidRDefault="003A291F" w:rsidP="00306411">
      <w:pPr>
        <w:pStyle w:val="a3"/>
        <w:numPr>
          <w:ilvl w:val="0"/>
          <w:numId w:val="2"/>
        </w:numPr>
        <w:spacing w:line="500" w:lineRule="exact"/>
        <w:ind w:leftChars="0" w:left="1077" w:hanging="357"/>
        <w:rPr>
          <w:rFonts w:ascii="Times New Roman" w:eastAsia="標楷體" w:hAnsi="Times New Roman" w:cs="Times New Roman"/>
          <w:sz w:val="28"/>
          <w:szCs w:val="28"/>
          <w:lang w:eastAsia="zh-CN"/>
        </w:rPr>
      </w:pPr>
      <w:r w:rsidRPr="00DD0749">
        <w:rPr>
          <w:rFonts w:ascii="Times New Roman" w:eastAsia="標楷體" w:hAnsi="Times New Roman" w:hint="eastAsia"/>
          <w:sz w:val="28"/>
          <w:szCs w:val="28"/>
        </w:rPr>
        <w:t>普華永道</w:t>
      </w:r>
      <w:r w:rsidRPr="00DD0749">
        <w:rPr>
          <w:rFonts w:ascii="標楷體" w:eastAsia="標楷體" w:hAnsi="標楷體" w:hint="eastAsia"/>
          <w:sz w:val="28"/>
          <w:szCs w:val="28"/>
        </w:rPr>
        <w:t>「格物致知：實施</w:t>
      </w:r>
      <w:r w:rsidRPr="00DD0749">
        <w:rPr>
          <w:rFonts w:ascii="標楷體" w:eastAsia="標楷體" w:hAnsi="標楷體"/>
          <w:sz w:val="28"/>
          <w:szCs w:val="28"/>
        </w:rPr>
        <w:t>IFRS 9</w:t>
      </w:r>
      <w:proofErr w:type="gramStart"/>
      <w:r w:rsidRPr="00DD0749">
        <w:rPr>
          <w:rFonts w:ascii="標楷體" w:eastAsia="標楷體" w:hAnsi="標楷體"/>
          <w:sz w:val="28"/>
          <w:szCs w:val="28"/>
        </w:rPr>
        <w:t>減值模型</w:t>
      </w:r>
      <w:proofErr w:type="gramEnd"/>
      <w:r w:rsidRPr="00DD0749">
        <w:rPr>
          <w:rFonts w:ascii="標楷體" w:eastAsia="標楷體" w:hAnsi="標楷體"/>
          <w:sz w:val="28"/>
          <w:szCs w:val="28"/>
        </w:rPr>
        <w:t>的</w:t>
      </w:r>
      <w:proofErr w:type="gramStart"/>
      <w:r w:rsidRPr="00DD0749">
        <w:rPr>
          <w:rFonts w:ascii="標楷體" w:eastAsia="標楷體" w:hAnsi="標楷體"/>
          <w:sz w:val="28"/>
          <w:szCs w:val="28"/>
        </w:rPr>
        <w:t>銀行版攻略</w:t>
      </w:r>
      <w:proofErr w:type="gramEnd"/>
      <w:r w:rsidRPr="00DD0749">
        <w:rPr>
          <w:rFonts w:ascii="標楷體" w:eastAsia="標楷體" w:hAnsi="標楷體"/>
          <w:sz w:val="28"/>
          <w:szCs w:val="28"/>
        </w:rPr>
        <w:t>」</w:t>
      </w:r>
      <w:r w:rsidRPr="00DD0749">
        <w:rPr>
          <w:rFonts w:ascii="Times New Roman" w:eastAsia="標楷體" w:hAnsi="Times New Roman" w:cs="細明體" w:hint="eastAsia"/>
          <w:kern w:val="0"/>
          <w:sz w:val="28"/>
          <w:szCs w:val="28"/>
          <w:lang w:eastAsia="zh-CN"/>
        </w:rPr>
        <w:t>（</w:t>
      </w:r>
      <w:r w:rsidRPr="00DD0749">
        <w:rPr>
          <w:rFonts w:ascii="Times New Roman" w:eastAsia="標楷體" w:hAnsi="Times New Roman" w:cs="細明體"/>
          <w:kern w:val="0"/>
          <w:sz w:val="28"/>
          <w:szCs w:val="28"/>
          <w:lang w:eastAsia="zh-CN"/>
        </w:rPr>
        <w:t>2016</w:t>
      </w:r>
      <w:r w:rsidRPr="00DD0749">
        <w:rPr>
          <w:rFonts w:ascii="Times New Roman" w:eastAsia="標楷體" w:hAnsi="Times New Roman" w:cs="細明體" w:hint="eastAsia"/>
          <w:kern w:val="0"/>
          <w:sz w:val="28"/>
          <w:szCs w:val="28"/>
          <w:lang w:eastAsia="zh-CN"/>
        </w:rPr>
        <w:t>年</w:t>
      </w:r>
      <w:r w:rsidRPr="00DD0749">
        <w:rPr>
          <w:rFonts w:ascii="Times New Roman" w:eastAsia="標楷體" w:hAnsi="Times New Roman" w:cs="細明體"/>
          <w:kern w:val="0"/>
          <w:sz w:val="28"/>
          <w:szCs w:val="28"/>
          <w:lang w:eastAsia="zh-CN"/>
        </w:rPr>
        <w:t>7</w:t>
      </w:r>
      <w:r w:rsidRPr="00DD0749">
        <w:rPr>
          <w:rFonts w:ascii="Times New Roman" w:eastAsia="標楷體" w:hAnsi="Times New Roman" w:cs="細明體" w:hint="eastAsia"/>
          <w:kern w:val="0"/>
          <w:sz w:val="28"/>
          <w:szCs w:val="28"/>
          <w:lang w:eastAsia="zh-CN"/>
        </w:rPr>
        <w:t>月）</w:t>
      </w:r>
    </w:p>
    <w:p w:rsidR="00232FBB" w:rsidRPr="00DD0749" w:rsidRDefault="00232FBB">
      <w:pPr>
        <w:spacing w:line="500" w:lineRule="exact"/>
        <w:rPr>
          <w:rFonts w:eastAsia="SimSun"/>
          <w:lang w:eastAsia="zh-CN"/>
        </w:rPr>
      </w:pPr>
    </w:p>
    <w:sectPr w:rsidR="00232FBB" w:rsidRPr="00DD0749" w:rsidSect="00F212DF">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B9" w:rsidRDefault="009636B9" w:rsidP="00804EA2">
      <w:r>
        <w:separator/>
      </w:r>
    </w:p>
  </w:endnote>
  <w:endnote w:type="continuationSeparator" w:id="0">
    <w:p w:rsidR="009636B9" w:rsidRDefault="009636B9" w:rsidP="00804EA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079247"/>
      <w:docPartObj>
        <w:docPartGallery w:val="Page Numbers (Bottom of Page)"/>
        <w:docPartUnique/>
      </w:docPartObj>
    </w:sdtPr>
    <w:sdtContent>
      <w:p w:rsidR="00804EA2" w:rsidRDefault="009F75AE">
        <w:pPr>
          <w:pStyle w:val="ad"/>
          <w:jc w:val="center"/>
        </w:pPr>
        <w:r>
          <w:fldChar w:fldCharType="begin"/>
        </w:r>
        <w:r w:rsidR="00804EA2">
          <w:instrText>PAGE   \* MERGEFORMAT</w:instrText>
        </w:r>
        <w:r>
          <w:fldChar w:fldCharType="separate"/>
        </w:r>
        <w:r w:rsidR="006F1E80" w:rsidRPr="006F1E80">
          <w:rPr>
            <w:noProof/>
            <w:lang w:val="zh-TW"/>
          </w:rPr>
          <w:t>4</w:t>
        </w:r>
        <w:r>
          <w:fldChar w:fldCharType="end"/>
        </w:r>
      </w:p>
    </w:sdtContent>
  </w:sdt>
  <w:p w:rsidR="00804EA2" w:rsidRDefault="00804E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B9" w:rsidRDefault="009636B9" w:rsidP="00804EA2">
      <w:r>
        <w:separator/>
      </w:r>
    </w:p>
  </w:footnote>
  <w:footnote w:type="continuationSeparator" w:id="0">
    <w:p w:rsidR="009636B9" w:rsidRDefault="009636B9" w:rsidP="00804EA2">
      <w:r>
        <w:continuationSeparator/>
      </w:r>
    </w:p>
  </w:footnote>
  <w:footnote w:id="1">
    <w:p w:rsidR="00306411" w:rsidRPr="00D824A0" w:rsidRDefault="00306411" w:rsidP="00306411">
      <w:pPr>
        <w:pStyle w:val="af"/>
        <w:rPr>
          <w:rFonts w:ascii="Times New Roman" w:eastAsia="標楷體" w:hAnsi="Times New Roman" w:cs="Times New Roman"/>
          <w:sz w:val="24"/>
          <w:szCs w:val="24"/>
        </w:rPr>
      </w:pPr>
      <w:r w:rsidRPr="009D557A">
        <w:rPr>
          <w:rStyle w:val="af1"/>
          <w:sz w:val="24"/>
          <w:szCs w:val="24"/>
        </w:rPr>
        <w:footnoteRef/>
      </w:r>
      <w:r w:rsidRPr="009D557A">
        <w:rPr>
          <w:rFonts w:ascii="標楷體" w:eastAsia="標楷體" w:hAnsi="標楷體"/>
          <w:sz w:val="24"/>
          <w:szCs w:val="24"/>
        </w:rPr>
        <w:t xml:space="preserve"> </w:t>
      </w:r>
      <w:r>
        <w:rPr>
          <w:rFonts w:ascii="Times New Roman" w:eastAsia="標楷體" w:hAnsi="Times New Roman" w:cs="Times New Roman" w:hint="cs"/>
          <w:sz w:val="24"/>
          <w:szCs w:val="24"/>
        </w:rPr>
        <w:t xml:space="preserve">IFRS Transition </w:t>
      </w:r>
      <w:r>
        <w:rPr>
          <w:rFonts w:ascii="Times New Roman" w:eastAsia="標楷體" w:hAnsi="Times New Roman" w:cs="Times New Roman"/>
          <w:sz w:val="24"/>
          <w:szCs w:val="24"/>
        </w:rPr>
        <w:t>Resource Group for Impairment of Financial Instruments (ITG)</w:t>
      </w:r>
    </w:p>
  </w:footnote>
  <w:footnote w:id="2">
    <w:p w:rsidR="00306411" w:rsidRPr="00893DCC" w:rsidRDefault="00306411" w:rsidP="00306411">
      <w:pPr>
        <w:pStyle w:val="af"/>
        <w:rPr>
          <w:rFonts w:ascii="標楷體" w:eastAsia="標楷體" w:hAnsi="標楷體"/>
          <w:sz w:val="24"/>
          <w:szCs w:val="24"/>
        </w:rPr>
      </w:pPr>
      <w:r w:rsidRPr="009D557A">
        <w:rPr>
          <w:rStyle w:val="af1"/>
          <w:sz w:val="24"/>
          <w:szCs w:val="24"/>
        </w:rPr>
        <w:footnoteRef/>
      </w:r>
      <w:r w:rsidRPr="009D557A">
        <w:rPr>
          <w:rFonts w:ascii="標楷體" w:eastAsia="標楷體" w:hAnsi="標楷體"/>
          <w:sz w:val="24"/>
          <w:szCs w:val="24"/>
        </w:rPr>
        <w:t xml:space="preserve"> </w:t>
      </w:r>
      <w:r>
        <w:rPr>
          <w:rFonts w:ascii="Times New Roman" w:eastAsia="標楷體" w:hAnsi="Times New Roman" w:cs="Times New Roman"/>
          <w:sz w:val="24"/>
          <w:szCs w:val="24"/>
        </w:rPr>
        <w:t>The Global Public Policy Committee (GPPC) is the global forum of representative from the six largest international accounting networks- BDO, Deloitte, EY, Grant Thornton, KPMG and PwC.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AA4"/>
    <w:multiLevelType w:val="hybridMultilevel"/>
    <w:tmpl w:val="8452A18C"/>
    <w:lvl w:ilvl="0" w:tplc="E80A564C">
      <w:start w:val="1"/>
      <w:numFmt w:val="lowerLetter"/>
      <w:lvlText w:val="(%1)"/>
      <w:lvlJc w:val="left"/>
      <w:pPr>
        <w:ind w:left="480" w:hanging="480"/>
      </w:pPr>
      <w:rPr>
        <w:rFonts w:ascii="Book Antiqua" w:eastAsia="標楷體" w:hAnsi="Book Antiqua"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9A5DD7"/>
    <w:multiLevelType w:val="hybridMultilevel"/>
    <w:tmpl w:val="5AC6F690"/>
    <w:lvl w:ilvl="0" w:tplc="68B4353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3AA34EFB"/>
    <w:multiLevelType w:val="hybridMultilevel"/>
    <w:tmpl w:val="72A6A8D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3F6E2B0B"/>
    <w:multiLevelType w:val="hybridMultilevel"/>
    <w:tmpl w:val="BFDA994A"/>
    <w:lvl w:ilvl="0" w:tplc="6BB46D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2969D7"/>
    <w:multiLevelType w:val="hybridMultilevel"/>
    <w:tmpl w:val="EE2825E2"/>
    <w:lvl w:ilvl="0" w:tplc="04090003">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6DC61C78"/>
    <w:multiLevelType w:val="hybridMultilevel"/>
    <w:tmpl w:val="571430DE"/>
    <w:lvl w:ilvl="0" w:tplc="8682BF82">
      <w:start w:val="1"/>
      <w:numFmt w:val="decimal"/>
      <w:lvlText w:val="%1."/>
      <w:lvlJc w:val="left"/>
      <w:pPr>
        <w:ind w:left="1080" w:hanging="360"/>
      </w:pPr>
      <w:rPr>
        <w:rFonts w:ascii="Times New Roman" w:hAnsi="Times New Roman" w:cstheme="minorBidi"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TW">
    <w15:presenceInfo w15:providerId="AD" w15:userId="S-1-5-21-966403454-280179460-153769433-2248"/>
  </w15:person>
  <w15:person w15:author="MOLE">
    <w15:presenceInfo w15:providerId="AD" w15:userId="S-1-5-21-966403454-280179460-153769433-35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BDB"/>
    <w:rsid w:val="00006C0C"/>
    <w:rsid w:val="000176F5"/>
    <w:rsid w:val="0002552D"/>
    <w:rsid w:val="000A2A12"/>
    <w:rsid w:val="000B65B6"/>
    <w:rsid w:val="00122206"/>
    <w:rsid w:val="00153065"/>
    <w:rsid w:val="001972F4"/>
    <w:rsid w:val="001A089A"/>
    <w:rsid w:val="001B418C"/>
    <w:rsid w:val="001C58F1"/>
    <w:rsid w:val="001E1599"/>
    <w:rsid w:val="00213713"/>
    <w:rsid w:val="00225BC9"/>
    <w:rsid w:val="00232FBB"/>
    <w:rsid w:val="00236456"/>
    <w:rsid w:val="002D50CF"/>
    <w:rsid w:val="00306411"/>
    <w:rsid w:val="003654C7"/>
    <w:rsid w:val="00386CBB"/>
    <w:rsid w:val="003A291F"/>
    <w:rsid w:val="003B6F0D"/>
    <w:rsid w:val="0041390B"/>
    <w:rsid w:val="004741EA"/>
    <w:rsid w:val="00487576"/>
    <w:rsid w:val="004B2114"/>
    <w:rsid w:val="004B21F1"/>
    <w:rsid w:val="004B650C"/>
    <w:rsid w:val="004B7B50"/>
    <w:rsid w:val="004E1B09"/>
    <w:rsid w:val="00516B1E"/>
    <w:rsid w:val="00547A22"/>
    <w:rsid w:val="00572F4C"/>
    <w:rsid w:val="005805CF"/>
    <w:rsid w:val="00590049"/>
    <w:rsid w:val="0059280E"/>
    <w:rsid w:val="005D4E94"/>
    <w:rsid w:val="005F6FF4"/>
    <w:rsid w:val="006002E4"/>
    <w:rsid w:val="00633211"/>
    <w:rsid w:val="006436A9"/>
    <w:rsid w:val="00665638"/>
    <w:rsid w:val="006A11BD"/>
    <w:rsid w:val="006B7387"/>
    <w:rsid w:val="006C59AE"/>
    <w:rsid w:val="006D136E"/>
    <w:rsid w:val="006E372B"/>
    <w:rsid w:val="006F1E80"/>
    <w:rsid w:val="006F7DE1"/>
    <w:rsid w:val="0071096E"/>
    <w:rsid w:val="00731757"/>
    <w:rsid w:val="00761F07"/>
    <w:rsid w:val="007647D1"/>
    <w:rsid w:val="0077125E"/>
    <w:rsid w:val="007B12D0"/>
    <w:rsid w:val="007D33CC"/>
    <w:rsid w:val="007F1D7B"/>
    <w:rsid w:val="007F4988"/>
    <w:rsid w:val="007F7275"/>
    <w:rsid w:val="00804EA2"/>
    <w:rsid w:val="008136BF"/>
    <w:rsid w:val="00827400"/>
    <w:rsid w:val="008867DF"/>
    <w:rsid w:val="008C3033"/>
    <w:rsid w:val="008E63BA"/>
    <w:rsid w:val="00916B14"/>
    <w:rsid w:val="00943055"/>
    <w:rsid w:val="009636B9"/>
    <w:rsid w:val="009B6A3D"/>
    <w:rsid w:val="009E62C7"/>
    <w:rsid w:val="009F1641"/>
    <w:rsid w:val="009F75AE"/>
    <w:rsid w:val="00A36509"/>
    <w:rsid w:val="00A861F1"/>
    <w:rsid w:val="00A94F9C"/>
    <w:rsid w:val="00AE3197"/>
    <w:rsid w:val="00B01A66"/>
    <w:rsid w:val="00B62F8F"/>
    <w:rsid w:val="00C01BDB"/>
    <w:rsid w:val="00C74BCE"/>
    <w:rsid w:val="00C86546"/>
    <w:rsid w:val="00D4747A"/>
    <w:rsid w:val="00D71B5A"/>
    <w:rsid w:val="00DA2618"/>
    <w:rsid w:val="00DD0749"/>
    <w:rsid w:val="00DE1A10"/>
    <w:rsid w:val="00DF52AF"/>
    <w:rsid w:val="00DF53E2"/>
    <w:rsid w:val="00E31E93"/>
    <w:rsid w:val="00E710DC"/>
    <w:rsid w:val="00EB2900"/>
    <w:rsid w:val="00EF3430"/>
    <w:rsid w:val="00F212DF"/>
    <w:rsid w:val="00F81AD9"/>
    <w:rsid w:val="00FA2DEF"/>
    <w:rsid w:val="00FE5C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DB"/>
    <w:pPr>
      <w:ind w:leftChars="200" w:left="480"/>
    </w:pPr>
    <w:rPr>
      <w:rFonts w:asciiTheme="minorHAnsi" w:eastAsiaTheme="minorEastAsia" w:hAnsiTheme="minorHAnsi" w:cstheme="minorBidi"/>
    </w:rPr>
  </w:style>
  <w:style w:type="paragraph" w:styleId="a4">
    <w:name w:val="Balloon Text"/>
    <w:basedOn w:val="a"/>
    <w:link w:val="a5"/>
    <w:uiPriority w:val="99"/>
    <w:semiHidden/>
    <w:unhideWhenUsed/>
    <w:rsid w:val="00006C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06C0C"/>
    <w:rPr>
      <w:rFonts w:asciiTheme="majorHAnsi" w:eastAsiaTheme="majorEastAsia" w:hAnsiTheme="majorHAnsi" w:cstheme="majorBidi"/>
      <w:sz w:val="18"/>
      <w:szCs w:val="18"/>
    </w:rPr>
  </w:style>
  <w:style w:type="paragraph" w:styleId="a6">
    <w:name w:val="header"/>
    <w:basedOn w:val="a"/>
    <w:link w:val="a7"/>
    <w:uiPriority w:val="99"/>
    <w:unhideWhenUsed/>
    <w:qFormat/>
    <w:rsid w:val="00F212DF"/>
    <w:pPr>
      <w:widowControl/>
    </w:pPr>
    <w:rPr>
      <w:rFonts w:ascii="Arial" w:eastAsiaTheme="minorEastAsia" w:hAnsi="Arial" w:cstheme="minorBidi"/>
      <w:color w:val="000000" w:themeColor="text1"/>
      <w:kern w:val="0"/>
      <w:sz w:val="16"/>
      <w:lang w:eastAsia="en-US"/>
    </w:rPr>
  </w:style>
  <w:style w:type="character" w:customStyle="1" w:styleId="a7">
    <w:name w:val="頁首 字元"/>
    <w:basedOn w:val="a0"/>
    <w:link w:val="a6"/>
    <w:uiPriority w:val="99"/>
    <w:rsid w:val="00F212DF"/>
    <w:rPr>
      <w:rFonts w:ascii="Arial" w:hAnsi="Arial"/>
      <w:color w:val="000000" w:themeColor="text1"/>
      <w:kern w:val="0"/>
      <w:sz w:val="16"/>
      <w:lang w:eastAsia="en-US"/>
    </w:rPr>
  </w:style>
  <w:style w:type="character" w:styleId="a8">
    <w:name w:val="annotation reference"/>
    <w:basedOn w:val="a0"/>
    <w:uiPriority w:val="99"/>
    <w:semiHidden/>
    <w:unhideWhenUsed/>
    <w:rsid w:val="004B650C"/>
    <w:rPr>
      <w:sz w:val="18"/>
      <w:szCs w:val="18"/>
    </w:rPr>
  </w:style>
  <w:style w:type="paragraph" w:styleId="a9">
    <w:name w:val="annotation text"/>
    <w:basedOn w:val="a"/>
    <w:link w:val="aa"/>
    <w:uiPriority w:val="99"/>
    <w:semiHidden/>
    <w:unhideWhenUsed/>
    <w:rsid w:val="004B650C"/>
  </w:style>
  <w:style w:type="character" w:customStyle="1" w:styleId="aa">
    <w:name w:val="註解文字 字元"/>
    <w:basedOn w:val="a0"/>
    <w:link w:val="a9"/>
    <w:uiPriority w:val="99"/>
    <w:semiHidden/>
    <w:rsid w:val="004B650C"/>
    <w:rPr>
      <w:rFonts w:ascii="Calibri" w:eastAsia="新細明體" w:hAnsi="Calibri" w:cs="Times New Roman"/>
    </w:rPr>
  </w:style>
  <w:style w:type="paragraph" w:styleId="ab">
    <w:name w:val="annotation subject"/>
    <w:basedOn w:val="a9"/>
    <w:next w:val="a9"/>
    <w:link w:val="ac"/>
    <w:uiPriority w:val="99"/>
    <w:semiHidden/>
    <w:unhideWhenUsed/>
    <w:rsid w:val="004B650C"/>
    <w:rPr>
      <w:b/>
      <w:bCs/>
    </w:rPr>
  </w:style>
  <w:style w:type="character" w:customStyle="1" w:styleId="ac">
    <w:name w:val="註解主旨 字元"/>
    <w:basedOn w:val="aa"/>
    <w:link w:val="ab"/>
    <w:uiPriority w:val="99"/>
    <w:semiHidden/>
    <w:rsid w:val="004B650C"/>
    <w:rPr>
      <w:rFonts w:ascii="Calibri" w:eastAsia="新細明體" w:hAnsi="Calibri" w:cs="Times New Roman"/>
      <w:b/>
      <w:bCs/>
    </w:rPr>
  </w:style>
  <w:style w:type="paragraph" w:styleId="ad">
    <w:name w:val="footer"/>
    <w:basedOn w:val="a"/>
    <w:link w:val="ae"/>
    <w:uiPriority w:val="99"/>
    <w:unhideWhenUsed/>
    <w:rsid w:val="00804EA2"/>
    <w:pPr>
      <w:tabs>
        <w:tab w:val="center" w:pos="4153"/>
        <w:tab w:val="right" w:pos="8306"/>
      </w:tabs>
      <w:snapToGrid w:val="0"/>
    </w:pPr>
    <w:rPr>
      <w:sz w:val="20"/>
      <w:szCs w:val="20"/>
    </w:rPr>
  </w:style>
  <w:style w:type="character" w:customStyle="1" w:styleId="ae">
    <w:name w:val="頁尾 字元"/>
    <w:basedOn w:val="a0"/>
    <w:link w:val="ad"/>
    <w:uiPriority w:val="99"/>
    <w:rsid w:val="00804EA2"/>
    <w:rPr>
      <w:rFonts w:ascii="Calibri" w:eastAsia="新細明體" w:hAnsi="Calibri" w:cs="Times New Roman"/>
      <w:sz w:val="20"/>
      <w:szCs w:val="20"/>
    </w:rPr>
  </w:style>
  <w:style w:type="paragraph" w:styleId="af">
    <w:name w:val="footnote text"/>
    <w:basedOn w:val="a"/>
    <w:link w:val="af0"/>
    <w:uiPriority w:val="99"/>
    <w:semiHidden/>
    <w:unhideWhenUsed/>
    <w:rsid w:val="00306411"/>
    <w:pPr>
      <w:snapToGrid w:val="0"/>
    </w:pPr>
    <w:rPr>
      <w:rFonts w:asciiTheme="minorHAnsi" w:eastAsiaTheme="minorEastAsia" w:hAnsiTheme="minorHAnsi" w:cstheme="minorBidi"/>
      <w:sz w:val="20"/>
      <w:szCs w:val="20"/>
    </w:rPr>
  </w:style>
  <w:style w:type="character" w:customStyle="1" w:styleId="af0">
    <w:name w:val="註腳文字 字元"/>
    <w:basedOn w:val="a0"/>
    <w:link w:val="af"/>
    <w:uiPriority w:val="99"/>
    <w:semiHidden/>
    <w:rsid w:val="00306411"/>
    <w:rPr>
      <w:sz w:val="20"/>
      <w:szCs w:val="20"/>
    </w:rPr>
  </w:style>
  <w:style w:type="character" w:styleId="af1">
    <w:name w:val="footnote reference"/>
    <w:basedOn w:val="a0"/>
    <w:uiPriority w:val="99"/>
    <w:semiHidden/>
    <w:unhideWhenUsed/>
    <w:rsid w:val="00306411"/>
    <w:rPr>
      <w:vertAlign w:val="superscript"/>
    </w:rPr>
  </w:style>
</w:styles>
</file>

<file path=word/webSettings.xml><?xml version="1.0" encoding="utf-8"?>
<w:webSettings xmlns:r="http://schemas.openxmlformats.org/officeDocument/2006/relationships" xmlns:w="http://schemas.openxmlformats.org/wordprocessingml/2006/main">
  <w:divs>
    <w:div w:id="1427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E38D-5D0F-43E3-AE5C-EE109854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cp:lastModifiedBy>
  <cp:revision>3</cp:revision>
  <dcterms:created xsi:type="dcterms:W3CDTF">2016-11-14T08:25:00Z</dcterms:created>
  <dcterms:modified xsi:type="dcterms:W3CDTF">2016-11-14T08:29:00Z</dcterms:modified>
</cp:coreProperties>
</file>